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33" w:rsidRPr="00491B56" w:rsidRDefault="00787633" w:rsidP="00787633">
      <w:pPr>
        <w:spacing w:line="560" w:lineRule="exact"/>
        <w:ind w:firstLineChars="183" w:firstLine="588"/>
        <w:rPr>
          <w:rFonts w:ascii="黑体" w:eastAsia="黑体" w:hAnsi="黑体"/>
          <w:b/>
          <w:bCs/>
          <w:sz w:val="32"/>
          <w:szCs w:val="32"/>
        </w:rPr>
      </w:pPr>
      <w:bookmarkStart w:id="0" w:name="_Toc438197218"/>
      <w:bookmarkStart w:id="1" w:name="_Toc440219250"/>
      <w:r w:rsidRPr="00491B56">
        <w:rPr>
          <w:rFonts w:ascii="黑体" w:eastAsia="黑体" w:hAnsi="黑体" w:hint="eastAsia"/>
          <w:b/>
          <w:bCs/>
          <w:sz w:val="32"/>
          <w:szCs w:val="32"/>
        </w:rPr>
        <w:t>四、国际合作</w:t>
      </w:r>
    </w:p>
    <w:p w:rsidR="00787633" w:rsidRDefault="00787633" w:rsidP="00787633">
      <w:pPr>
        <w:spacing w:line="600" w:lineRule="exact"/>
        <w:ind w:firstLineChars="200" w:firstLine="640"/>
        <w:rPr>
          <w:rFonts w:ascii="仿宋_GB2312" w:eastAsia="仿宋_GB2312"/>
          <w:sz w:val="32"/>
          <w:szCs w:val="32"/>
        </w:rPr>
      </w:pPr>
      <w:r>
        <w:rPr>
          <w:rFonts w:ascii="仿宋_GB2312" w:eastAsia="仿宋_GB2312" w:hint="eastAsia"/>
          <w:sz w:val="32"/>
          <w:szCs w:val="32"/>
        </w:rPr>
        <w:t>学院积极开展对外交流，探索与国际合作办学的机制，在总结与英国的胡佛汉顿大学、澳大利亚的巴拉瑞特大学、加拿大的加西大学及台湾地区侨光科技大学等国外大学合作办学的经验基础上，学院确立了立足港澳台，积极与港澳台高校及东南亚国家高校开展“2+2”或“3+1”等合作办学项目，服务于培养具有跨文化交流能力、国际化视野和创新意识的国际化人才的需要工作目标。本学年，学院多措并举，加大了对外交流的力度，立足“创新强校工程”对外交流与合作类项目建设目标与要求，积极探索多层面对外交流与合作办学事宜，取得了阶段性的成绩：一是与泰国曼谷吞武里大学签署了合作办学协议；二是与新西兰ACG集团奥克兰大学、奥克兰理工大学洽谈中外合作办学、专本科对接等留学事宜；三是与台湾嵌入式单晶协会、东莞台商育苗教育基金会、台湾澎湖科技大学等开展交流。</w:t>
      </w:r>
    </w:p>
    <w:p w:rsidR="00787633" w:rsidRDefault="00787633" w:rsidP="00787633">
      <w:pPr>
        <w:spacing w:line="600" w:lineRule="exact"/>
        <w:jc w:val="center"/>
        <w:rPr>
          <w:rFonts w:ascii="仿宋_GB2312" w:eastAsia="仿宋_GB2312"/>
          <w:sz w:val="32"/>
          <w:szCs w:val="32"/>
        </w:rPr>
      </w:pPr>
      <w:r>
        <w:rPr>
          <w:rFonts w:ascii="仿宋_GB2312" w:eastAsia="仿宋_GB2312" w:hint="eastAsia"/>
          <w:sz w:val="32"/>
          <w:szCs w:val="32"/>
        </w:rPr>
        <w:t>本学年度国际合作一览表</w:t>
      </w:r>
    </w:p>
    <w:tbl>
      <w:tblPr>
        <w:tblStyle w:val="ad"/>
        <w:tblW w:w="9484" w:type="dxa"/>
        <w:tblLayout w:type="fixed"/>
        <w:tblLook w:val="0000"/>
      </w:tblPr>
      <w:tblGrid>
        <w:gridCol w:w="1384"/>
        <w:gridCol w:w="3585"/>
        <w:gridCol w:w="1710"/>
        <w:gridCol w:w="2805"/>
      </w:tblGrid>
      <w:tr w:rsidR="00787633" w:rsidRPr="000C6E7C" w:rsidTr="00C41F72">
        <w:tc>
          <w:tcPr>
            <w:tcW w:w="1384" w:type="dxa"/>
            <w:vAlign w:val="center"/>
          </w:tcPr>
          <w:p w:rsidR="00787633" w:rsidRPr="000C6E7C" w:rsidRDefault="00787633" w:rsidP="00C41F72">
            <w:pPr>
              <w:spacing w:line="360" w:lineRule="auto"/>
              <w:jc w:val="center"/>
              <w:rPr>
                <w:rFonts w:ascii="仿宋" w:eastAsia="仿宋" w:hAnsi="仿宋"/>
                <w:b/>
                <w:bCs/>
                <w:sz w:val="24"/>
              </w:rPr>
            </w:pPr>
            <w:r w:rsidRPr="000C6E7C">
              <w:rPr>
                <w:rFonts w:ascii="仿宋" w:eastAsia="仿宋" w:hAnsi="仿宋" w:hint="eastAsia"/>
                <w:b/>
                <w:bCs/>
                <w:sz w:val="24"/>
              </w:rPr>
              <w:t>合作区域</w:t>
            </w:r>
          </w:p>
        </w:tc>
        <w:tc>
          <w:tcPr>
            <w:tcW w:w="3585" w:type="dxa"/>
            <w:vAlign w:val="center"/>
          </w:tcPr>
          <w:p w:rsidR="00787633" w:rsidRPr="000C6E7C" w:rsidRDefault="00787633" w:rsidP="00C41F72">
            <w:pPr>
              <w:spacing w:line="360" w:lineRule="exact"/>
              <w:jc w:val="center"/>
              <w:rPr>
                <w:rFonts w:ascii="仿宋" w:eastAsia="仿宋" w:hAnsi="仿宋"/>
                <w:b/>
                <w:bCs/>
                <w:sz w:val="24"/>
              </w:rPr>
            </w:pPr>
            <w:r w:rsidRPr="000C6E7C">
              <w:rPr>
                <w:rFonts w:ascii="仿宋" w:eastAsia="仿宋" w:hAnsi="仿宋" w:hint="eastAsia"/>
                <w:b/>
                <w:bCs/>
                <w:sz w:val="24"/>
              </w:rPr>
              <w:t>合作高校（企业）名称</w:t>
            </w:r>
          </w:p>
        </w:tc>
        <w:tc>
          <w:tcPr>
            <w:tcW w:w="1710" w:type="dxa"/>
            <w:vAlign w:val="center"/>
          </w:tcPr>
          <w:p w:rsidR="00787633" w:rsidRPr="000C6E7C" w:rsidRDefault="00787633" w:rsidP="00C41F72">
            <w:pPr>
              <w:spacing w:line="360" w:lineRule="exact"/>
              <w:jc w:val="center"/>
              <w:rPr>
                <w:rFonts w:ascii="仿宋" w:eastAsia="仿宋" w:hAnsi="仿宋"/>
                <w:b/>
                <w:bCs/>
                <w:sz w:val="24"/>
              </w:rPr>
            </w:pPr>
            <w:r w:rsidRPr="000C6E7C">
              <w:rPr>
                <w:rFonts w:ascii="仿宋" w:eastAsia="仿宋" w:hAnsi="仿宋" w:hint="eastAsia"/>
                <w:b/>
                <w:bCs/>
                <w:sz w:val="24"/>
              </w:rPr>
              <w:t>合作方式</w:t>
            </w:r>
          </w:p>
        </w:tc>
        <w:tc>
          <w:tcPr>
            <w:tcW w:w="2805" w:type="dxa"/>
            <w:vAlign w:val="center"/>
          </w:tcPr>
          <w:p w:rsidR="00787633" w:rsidRPr="000C6E7C" w:rsidRDefault="00787633" w:rsidP="00C41F72">
            <w:pPr>
              <w:spacing w:line="360" w:lineRule="exact"/>
              <w:jc w:val="center"/>
              <w:rPr>
                <w:rFonts w:ascii="仿宋" w:eastAsia="仿宋" w:hAnsi="仿宋"/>
                <w:b/>
                <w:bCs/>
                <w:sz w:val="24"/>
              </w:rPr>
            </w:pPr>
            <w:r w:rsidRPr="000C6E7C">
              <w:rPr>
                <w:rFonts w:ascii="仿宋" w:eastAsia="仿宋" w:hAnsi="仿宋" w:hint="eastAsia"/>
                <w:b/>
                <w:bCs/>
                <w:sz w:val="24"/>
              </w:rPr>
              <w:t>主要成果</w:t>
            </w:r>
          </w:p>
        </w:tc>
      </w:tr>
      <w:tr w:rsidR="00787633" w:rsidRPr="000C6E7C" w:rsidTr="00C41F72">
        <w:tc>
          <w:tcPr>
            <w:tcW w:w="1384"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东南亚</w:t>
            </w: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sz w:val="24"/>
              </w:rPr>
              <w:t>泰国曼谷吞武里大学</w:t>
            </w:r>
          </w:p>
        </w:tc>
        <w:tc>
          <w:tcPr>
            <w:tcW w:w="1710"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合作办学</w:t>
            </w:r>
          </w:p>
        </w:tc>
        <w:tc>
          <w:tcPr>
            <w:tcW w:w="2805" w:type="dxa"/>
            <w:vAlign w:val="center"/>
          </w:tcPr>
          <w:p w:rsidR="00787633" w:rsidRPr="000C6E7C" w:rsidRDefault="00787633" w:rsidP="00C41F72">
            <w:pPr>
              <w:spacing w:line="360" w:lineRule="exact"/>
              <w:jc w:val="center"/>
              <w:rPr>
                <w:rFonts w:ascii="仿宋" w:eastAsia="仿宋" w:hAnsi="仿宋"/>
                <w:bCs/>
                <w:sz w:val="24"/>
              </w:rPr>
            </w:pPr>
            <w:r w:rsidRPr="000C6E7C">
              <w:rPr>
                <w:rFonts w:ascii="仿宋" w:eastAsia="仿宋" w:hAnsi="仿宋" w:hint="eastAsia"/>
                <w:bCs/>
                <w:sz w:val="24"/>
              </w:rPr>
              <w:t>签署双方合作办学协议，已着手拟派出学生进行专业提升。</w:t>
            </w:r>
          </w:p>
        </w:tc>
      </w:tr>
      <w:tr w:rsidR="00787633" w:rsidRPr="000C6E7C" w:rsidTr="00C41F72">
        <w:tc>
          <w:tcPr>
            <w:tcW w:w="1384" w:type="dxa"/>
            <w:vMerge w:val="restart"/>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大洋洲</w:t>
            </w: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新西兰ACG集团奥克兰大学</w:t>
            </w:r>
          </w:p>
        </w:tc>
        <w:tc>
          <w:tcPr>
            <w:tcW w:w="1710" w:type="dxa"/>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合作办学</w:t>
            </w:r>
          </w:p>
        </w:tc>
        <w:tc>
          <w:tcPr>
            <w:tcW w:w="2805" w:type="dxa"/>
            <w:vMerge w:val="restart"/>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目前相关协商洽谈工作仍在进行中</w:t>
            </w:r>
          </w:p>
        </w:tc>
      </w:tr>
      <w:tr w:rsidR="00787633" w:rsidRPr="000C6E7C" w:rsidTr="00C41F72">
        <w:trPr>
          <w:trHeight w:val="422"/>
        </w:trPr>
        <w:tc>
          <w:tcPr>
            <w:tcW w:w="1384" w:type="dxa"/>
            <w:vMerge/>
            <w:vAlign w:val="center"/>
          </w:tcPr>
          <w:p w:rsidR="00787633" w:rsidRPr="000C6E7C" w:rsidRDefault="00787633" w:rsidP="00C41F72">
            <w:pPr>
              <w:spacing w:line="360" w:lineRule="auto"/>
              <w:jc w:val="center"/>
              <w:rPr>
                <w:rFonts w:ascii="仿宋" w:eastAsia="仿宋" w:hAnsi="仿宋"/>
                <w:bCs/>
                <w:sz w:val="24"/>
              </w:rPr>
            </w:pP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新西兰奥克兰理工大学</w:t>
            </w:r>
          </w:p>
        </w:tc>
        <w:tc>
          <w:tcPr>
            <w:tcW w:w="1710" w:type="dxa"/>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合作办学</w:t>
            </w:r>
          </w:p>
        </w:tc>
        <w:tc>
          <w:tcPr>
            <w:tcW w:w="2805" w:type="dxa"/>
            <w:vMerge/>
          </w:tcPr>
          <w:p w:rsidR="00787633" w:rsidRPr="000C6E7C" w:rsidRDefault="00787633" w:rsidP="00C41F72">
            <w:pPr>
              <w:spacing w:line="360" w:lineRule="auto"/>
              <w:jc w:val="center"/>
              <w:rPr>
                <w:rFonts w:ascii="仿宋" w:eastAsia="仿宋" w:hAnsi="仿宋"/>
                <w:bCs/>
                <w:sz w:val="24"/>
              </w:rPr>
            </w:pPr>
          </w:p>
        </w:tc>
      </w:tr>
      <w:tr w:rsidR="00787633" w:rsidRPr="000C6E7C" w:rsidTr="00C41F72">
        <w:tc>
          <w:tcPr>
            <w:tcW w:w="1384" w:type="dxa"/>
            <w:vMerge w:val="restart"/>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台湾地区</w:t>
            </w: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台湾澎湖科技大学</w:t>
            </w:r>
          </w:p>
        </w:tc>
        <w:tc>
          <w:tcPr>
            <w:tcW w:w="1710" w:type="dxa"/>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合作办学</w:t>
            </w:r>
          </w:p>
        </w:tc>
        <w:tc>
          <w:tcPr>
            <w:tcW w:w="2805" w:type="dxa"/>
            <w:vMerge/>
          </w:tcPr>
          <w:p w:rsidR="00787633" w:rsidRPr="000C6E7C" w:rsidRDefault="00787633" w:rsidP="00C41F72">
            <w:pPr>
              <w:spacing w:line="360" w:lineRule="auto"/>
              <w:jc w:val="center"/>
              <w:rPr>
                <w:rFonts w:ascii="仿宋" w:eastAsia="仿宋" w:hAnsi="仿宋"/>
                <w:bCs/>
                <w:sz w:val="24"/>
              </w:rPr>
            </w:pPr>
          </w:p>
        </w:tc>
      </w:tr>
      <w:tr w:rsidR="00787633" w:rsidRPr="000C6E7C" w:rsidTr="00C41F72">
        <w:tc>
          <w:tcPr>
            <w:tcW w:w="1384" w:type="dxa"/>
            <w:vMerge/>
          </w:tcPr>
          <w:p w:rsidR="00787633" w:rsidRPr="000C6E7C" w:rsidRDefault="00787633" w:rsidP="00C41F72">
            <w:pPr>
              <w:spacing w:line="360" w:lineRule="auto"/>
              <w:jc w:val="center"/>
              <w:rPr>
                <w:rFonts w:ascii="仿宋" w:eastAsia="仿宋" w:hAnsi="仿宋"/>
                <w:bCs/>
                <w:sz w:val="24"/>
              </w:rPr>
            </w:pP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台湾嵌入式单晶协会</w:t>
            </w:r>
          </w:p>
        </w:tc>
        <w:tc>
          <w:tcPr>
            <w:tcW w:w="1710" w:type="dxa"/>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校企合作</w:t>
            </w:r>
          </w:p>
        </w:tc>
        <w:tc>
          <w:tcPr>
            <w:tcW w:w="2805" w:type="dxa"/>
            <w:vMerge/>
          </w:tcPr>
          <w:p w:rsidR="00787633" w:rsidRPr="000C6E7C" w:rsidRDefault="00787633" w:rsidP="00C41F72">
            <w:pPr>
              <w:spacing w:line="360" w:lineRule="auto"/>
              <w:jc w:val="center"/>
              <w:rPr>
                <w:rFonts w:ascii="仿宋" w:eastAsia="仿宋" w:hAnsi="仿宋"/>
                <w:bCs/>
                <w:sz w:val="24"/>
              </w:rPr>
            </w:pPr>
          </w:p>
        </w:tc>
      </w:tr>
      <w:tr w:rsidR="00787633" w:rsidRPr="000C6E7C" w:rsidTr="00C41F72">
        <w:trPr>
          <w:trHeight w:val="242"/>
        </w:trPr>
        <w:tc>
          <w:tcPr>
            <w:tcW w:w="1384" w:type="dxa"/>
            <w:vMerge/>
          </w:tcPr>
          <w:p w:rsidR="00787633" w:rsidRPr="000C6E7C" w:rsidRDefault="00787633" w:rsidP="00C41F72">
            <w:pPr>
              <w:spacing w:line="360" w:lineRule="auto"/>
              <w:jc w:val="center"/>
              <w:rPr>
                <w:rFonts w:ascii="仿宋" w:eastAsia="仿宋" w:hAnsi="仿宋"/>
                <w:bCs/>
                <w:sz w:val="24"/>
              </w:rPr>
            </w:pPr>
          </w:p>
        </w:tc>
        <w:tc>
          <w:tcPr>
            <w:tcW w:w="3585" w:type="dxa"/>
            <w:vAlign w:val="center"/>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东莞台为商育苗教育基金会</w:t>
            </w:r>
          </w:p>
        </w:tc>
        <w:tc>
          <w:tcPr>
            <w:tcW w:w="1710" w:type="dxa"/>
          </w:tcPr>
          <w:p w:rsidR="00787633" w:rsidRPr="000C6E7C" w:rsidRDefault="00787633" w:rsidP="00C41F72">
            <w:pPr>
              <w:spacing w:line="360" w:lineRule="auto"/>
              <w:jc w:val="center"/>
              <w:rPr>
                <w:rFonts w:ascii="仿宋" w:eastAsia="仿宋" w:hAnsi="仿宋"/>
                <w:bCs/>
                <w:sz w:val="24"/>
              </w:rPr>
            </w:pPr>
            <w:r w:rsidRPr="000C6E7C">
              <w:rPr>
                <w:rFonts w:ascii="仿宋" w:eastAsia="仿宋" w:hAnsi="仿宋" w:hint="eastAsia"/>
                <w:bCs/>
                <w:sz w:val="24"/>
              </w:rPr>
              <w:t>校企合作</w:t>
            </w:r>
          </w:p>
        </w:tc>
        <w:tc>
          <w:tcPr>
            <w:tcW w:w="2805" w:type="dxa"/>
            <w:vMerge/>
          </w:tcPr>
          <w:p w:rsidR="00787633" w:rsidRPr="000C6E7C" w:rsidRDefault="00787633" w:rsidP="00C41F72">
            <w:pPr>
              <w:spacing w:line="360" w:lineRule="auto"/>
              <w:jc w:val="center"/>
              <w:rPr>
                <w:rFonts w:ascii="仿宋" w:eastAsia="仿宋" w:hAnsi="仿宋"/>
                <w:bCs/>
                <w:sz w:val="24"/>
              </w:rPr>
            </w:pPr>
          </w:p>
        </w:tc>
      </w:tr>
    </w:tbl>
    <w:p w:rsidR="00787633" w:rsidRPr="00491B56" w:rsidRDefault="00787633" w:rsidP="00787633">
      <w:pPr>
        <w:spacing w:line="600" w:lineRule="exact"/>
        <w:ind w:firstLineChars="200" w:firstLine="640"/>
        <w:rPr>
          <w:rFonts w:ascii="楷体" w:eastAsia="楷体" w:hAnsi="楷体"/>
          <w:sz w:val="32"/>
          <w:szCs w:val="32"/>
        </w:rPr>
      </w:pPr>
      <w:r w:rsidRPr="00491B56">
        <w:rPr>
          <w:rFonts w:ascii="黑体" w:eastAsia="黑体" w:hAnsi="黑体" w:hint="eastAsia"/>
          <w:sz w:val="32"/>
          <w:szCs w:val="32"/>
        </w:rPr>
        <w:t>案例16：</w:t>
      </w:r>
      <w:r w:rsidRPr="00491B56">
        <w:rPr>
          <w:rFonts w:ascii="楷体" w:eastAsia="楷体" w:hAnsi="楷体" w:hint="eastAsia"/>
          <w:sz w:val="32"/>
          <w:szCs w:val="32"/>
        </w:rPr>
        <w:t>服务于汕头市21世纪海上丝绸之路建设布局，积极探索推进汕泰教育合作机制</w:t>
      </w:r>
    </w:p>
    <w:p w:rsidR="00787633" w:rsidRDefault="00787633" w:rsidP="00787633">
      <w:pPr>
        <w:spacing w:line="600" w:lineRule="exact"/>
        <w:ind w:firstLineChars="200" w:firstLine="640"/>
        <w:rPr>
          <w:rFonts w:ascii="仿宋_GB2312" w:eastAsia="仿宋_GB2312"/>
          <w:sz w:val="32"/>
          <w:szCs w:val="32"/>
        </w:rPr>
      </w:pPr>
      <w:r>
        <w:rPr>
          <w:rFonts w:ascii="仿宋_GB2312" w:eastAsia="仿宋_GB2312" w:hint="eastAsia"/>
          <w:sz w:val="32"/>
          <w:szCs w:val="32"/>
        </w:rPr>
        <w:t>汕头作为粤东地区经济实力相对较强的城市，是海上丝绸之路的重要节点，也是中国人沿海上丝绸之路海外移民的著名侨乡，数量庞大的潮汕籍华人华侨在东南亚国家占据举足轻重的经济社会地位，为此，2015年汕头市做出了建设“21世纪海上丝绸之路”门户城市的定位布局。根据这一决策，学院确立了抓住台湾地区、东南亚地区在语言文化与潮汕地缘文化方面的相似特性，利用海外侨胞的家乡情结，以“侨”为“桥”，积极开展双方项目合作，实现学生、教师到合作方学习，交流讲学与办学合作，服务于学院培养具有跨文化交流能力、国际化视野和创新意识的国际化人才的对外交流目标。</w:t>
      </w:r>
    </w:p>
    <w:p w:rsidR="00787633" w:rsidRDefault="00787633" w:rsidP="00787633">
      <w:pPr>
        <w:spacing w:line="600" w:lineRule="exact"/>
        <w:ind w:firstLineChars="200" w:firstLine="640"/>
        <w:rPr>
          <w:rFonts w:ascii="仿宋_GB2312" w:eastAsia="仿宋_GB2312"/>
          <w:sz w:val="32"/>
          <w:szCs w:val="32"/>
        </w:rPr>
      </w:pPr>
      <w:r>
        <w:rPr>
          <w:rFonts w:ascii="仿宋_GB2312" w:eastAsia="仿宋_GB2312" w:hint="eastAsia"/>
          <w:sz w:val="32"/>
          <w:szCs w:val="32"/>
        </w:rPr>
        <w:t>学院积极开展与泰国曼谷吞武里大学等的合作办学、促进汕泰交流，取得了阶段性的成果。4月份，泰国吞武里大学参猜•猜隆勒主席率领吞武里大学考察团一行莅临学院洽谈办学合作事宜，两校签订了合作办学的基础框架协议。</w:t>
      </w:r>
      <w:smartTag w:uri="urn:schemas-microsoft-com:office:smarttags" w:element="chsdate">
        <w:smartTagPr>
          <w:attr w:name="Year" w:val="2016"/>
          <w:attr w:name="Month" w:val="8"/>
          <w:attr w:name="Day" w:val="30"/>
          <w:attr w:name="IsLunarDate" w:val="False"/>
          <w:attr w:name="IsROCDate" w:val="False"/>
        </w:smartTagPr>
        <w:r>
          <w:rPr>
            <w:rFonts w:ascii="仿宋_GB2312" w:eastAsia="仿宋_GB2312" w:hint="eastAsia"/>
            <w:sz w:val="32"/>
            <w:szCs w:val="32"/>
          </w:rPr>
          <w:t>8月30日</w:t>
        </w:r>
      </w:smartTag>
      <w:r>
        <w:rPr>
          <w:rFonts w:ascii="仿宋_GB2312" w:eastAsia="仿宋_GB2312" w:hint="eastAsia"/>
          <w:sz w:val="32"/>
          <w:szCs w:val="32"/>
        </w:rPr>
        <w:t>—</w:t>
      </w:r>
      <w:smartTag w:uri="urn:schemas-microsoft-com:office:smarttags" w:element="chsdate">
        <w:smartTagPr>
          <w:attr w:name="Year" w:val="2016"/>
          <w:attr w:name="Month" w:val="9"/>
          <w:attr w:name="Day" w:val="3"/>
          <w:attr w:name="IsLunarDate" w:val="False"/>
          <w:attr w:name="IsROCDate" w:val="False"/>
        </w:smartTagPr>
        <w:r>
          <w:rPr>
            <w:rFonts w:ascii="仿宋_GB2312" w:eastAsia="仿宋_GB2312" w:hint="eastAsia"/>
            <w:sz w:val="32"/>
            <w:szCs w:val="32"/>
          </w:rPr>
          <w:t>9月3日</w:t>
        </w:r>
      </w:smartTag>
      <w:r>
        <w:rPr>
          <w:rFonts w:ascii="仿宋_GB2312" w:eastAsia="仿宋_GB2312" w:hint="eastAsia"/>
          <w:sz w:val="32"/>
          <w:szCs w:val="32"/>
        </w:rPr>
        <w:t>，学院党委书记庄锦城率领副院长林育青、教务处处长等一行5人赴吞武里大学考察签署合作办学事项。双方在原框架协议的基础上，商定将在国际经济与贸易、旅游与酒店管理、艺术设计、美术等专业领域互派师生合作交流，同时还就专业设置、课程建设、文凭互认、学分互认及专升本合作等问题进</w:t>
      </w:r>
      <w:r>
        <w:rPr>
          <w:rFonts w:ascii="仿宋_GB2312" w:eastAsia="仿宋_GB2312" w:hint="eastAsia"/>
          <w:sz w:val="32"/>
          <w:szCs w:val="32"/>
        </w:rPr>
        <w:lastRenderedPageBreak/>
        <w:t>行了深入的协商和探讨，签署了《汕头职业技术学院与泰国曼谷吞武里大学预科项目合作办学协议》、《汕头职业技术学院与泰国曼谷吞武里大学3+2项目合作办学协议》。学院将与泰国曼谷吞武里大学在经济管理、人文、会计、音乐、艺术、教育、体育等相关专业基于3+2项目及本科合作办学，开启了汕泰合作的新篇章。在学院的推动下，双方的合作得到了汕头市政府的重视。</w:t>
      </w:r>
    </w:p>
    <w:p w:rsidR="00787633" w:rsidRDefault="00787633" w:rsidP="00787633">
      <w:pPr>
        <w:spacing w:line="600" w:lineRule="exact"/>
        <w:ind w:firstLineChars="200" w:firstLine="640"/>
        <w:rPr>
          <w:rFonts w:ascii="仿宋_GB2312" w:eastAsia="仿宋_GB2312"/>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36pt;margin-top:7.95pt;width:349.55pt;height:241.95pt;z-index:251660288;mso-wrap-style:none" filled="f" strokecolor="white">
            <v:textbox style="mso-fit-shape-to-text:t">
              <w:txbxContent>
                <w:p w:rsidR="00787633" w:rsidRDefault="00787633" w:rsidP="00787633">
                  <w:r>
                    <w:rPr>
                      <w:noProof/>
                    </w:rPr>
                    <w:drawing>
                      <wp:inline distT="0" distB="0" distL="0" distR="0">
                        <wp:extent cx="4705350" cy="2886075"/>
                        <wp:effectExtent l="19050" t="0" r="0" b="0"/>
                        <wp:docPr id="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4705350" cy="2886075"/>
                                </a:xfrm>
                                <a:prstGeom prst="rect">
                                  <a:avLst/>
                                </a:prstGeom>
                                <a:noFill/>
                                <a:ln w="9525">
                                  <a:noFill/>
                                  <a:miter lim="800000"/>
                                  <a:headEnd/>
                                  <a:tailEnd/>
                                </a:ln>
                              </pic:spPr>
                            </pic:pic>
                          </a:graphicData>
                        </a:graphic>
                      </wp:inline>
                    </w:drawing>
                  </w:r>
                </w:p>
              </w:txbxContent>
            </v:textbox>
          </v:shape>
        </w:pict>
      </w: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r>
        <w:rPr>
          <w:rFonts w:ascii="仿宋_GB2312" w:eastAsia="仿宋_GB2312"/>
          <w:noProof/>
          <w:sz w:val="32"/>
          <w:szCs w:val="32"/>
        </w:rPr>
        <w:pict>
          <v:shape id="_x0000_s2051" type="#_x0000_t202" style="position:absolute;left:0;text-align:left;margin-left:36pt;margin-top:9.6pt;width:367.7pt;height:265.2pt;z-index:251661312;mso-wrap-style:none" filled="f" strokecolor="white">
            <v:textbox style="mso-next-textbox:#_x0000_s2051;mso-fit-shape-to-text:t">
              <w:txbxContent>
                <w:p w:rsidR="00787633" w:rsidRDefault="00787633" w:rsidP="00787633">
                  <w:r>
                    <w:rPr>
                      <w:noProof/>
                    </w:rPr>
                    <w:drawing>
                      <wp:inline distT="0" distB="0" distL="0" distR="0">
                        <wp:extent cx="4686300" cy="3057525"/>
                        <wp:effectExtent l="19050" t="0" r="0" b="0"/>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4686300" cy="3057525"/>
                                </a:xfrm>
                                <a:prstGeom prst="rect">
                                  <a:avLst/>
                                </a:prstGeom>
                                <a:noFill/>
                                <a:ln w="9525">
                                  <a:noFill/>
                                  <a:miter lim="800000"/>
                                  <a:headEnd/>
                                  <a:tailEnd/>
                                </a:ln>
                              </pic:spPr>
                            </pic:pic>
                          </a:graphicData>
                        </a:graphic>
                      </wp:inline>
                    </w:drawing>
                  </w:r>
                </w:p>
              </w:txbxContent>
            </v:textbox>
          </v:shape>
        </w:pict>
      </w: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640"/>
        <w:rPr>
          <w:rFonts w:ascii="仿宋_GB2312" w:eastAsia="仿宋_GB2312"/>
          <w:sz w:val="32"/>
          <w:szCs w:val="32"/>
        </w:rPr>
      </w:pPr>
    </w:p>
    <w:p w:rsidR="00787633" w:rsidRDefault="00787633" w:rsidP="00787633">
      <w:pPr>
        <w:spacing w:line="600" w:lineRule="exact"/>
        <w:ind w:firstLineChars="200" w:firstLine="720"/>
        <w:rPr>
          <w:sz w:val="36"/>
          <w:szCs w:val="36"/>
        </w:rPr>
      </w:pPr>
    </w:p>
    <w:p w:rsidR="00787633" w:rsidRPr="00392EA0" w:rsidRDefault="00787633" w:rsidP="00787633">
      <w:pPr>
        <w:spacing w:line="560" w:lineRule="exact"/>
        <w:ind w:firstLineChars="183" w:firstLine="588"/>
        <w:rPr>
          <w:rFonts w:ascii="黑体" w:eastAsia="黑体" w:hAnsi="黑体"/>
          <w:b/>
          <w:bCs/>
          <w:sz w:val="32"/>
          <w:szCs w:val="32"/>
        </w:rPr>
      </w:pPr>
    </w:p>
    <w:p w:rsidR="00787633" w:rsidRDefault="00787633" w:rsidP="00787633">
      <w:pPr>
        <w:spacing w:line="560" w:lineRule="exact"/>
        <w:ind w:firstLineChars="183" w:firstLine="588"/>
        <w:rPr>
          <w:rFonts w:ascii="黑体" w:eastAsia="黑体" w:hAnsi="黑体"/>
          <w:b/>
          <w:bCs/>
          <w:sz w:val="32"/>
          <w:szCs w:val="32"/>
        </w:rPr>
      </w:pPr>
    </w:p>
    <w:p w:rsidR="00787633" w:rsidRDefault="00787633" w:rsidP="00787633">
      <w:pPr>
        <w:spacing w:line="560" w:lineRule="exact"/>
        <w:ind w:firstLineChars="183" w:firstLine="588"/>
        <w:rPr>
          <w:rFonts w:ascii="黑体" w:eastAsia="黑体" w:hAnsi="黑体"/>
          <w:b/>
          <w:bCs/>
          <w:sz w:val="32"/>
          <w:szCs w:val="32"/>
        </w:rPr>
      </w:pPr>
    </w:p>
    <w:p w:rsidR="00787633" w:rsidRDefault="00787633" w:rsidP="00787633">
      <w:pPr>
        <w:spacing w:line="560" w:lineRule="exact"/>
        <w:ind w:firstLineChars="183" w:firstLine="588"/>
        <w:rPr>
          <w:rFonts w:ascii="黑体" w:eastAsia="黑体" w:hAnsi="黑体"/>
          <w:b/>
          <w:bCs/>
          <w:sz w:val="32"/>
          <w:szCs w:val="32"/>
        </w:rPr>
      </w:pPr>
      <w:bookmarkStart w:id="2" w:name="_Toc438197222"/>
      <w:bookmarkStart w:id="3" w:name="_Toc440219254"/>
      <w:bookmarkStart w:id="4" w:name="_Toc438197217"/>
      <w:bookmarkStart w:id="5" w:name="_Toc440219249"/>
      <w:bookmarkEnd w:id="0"/>
      <w:bookmarkEnd w:id="1"/>
      <w:bookmarkEnd w:id="2"/>
      <w:bookmarkEnd w:id="3"/>
      <w:bookmarkEnd w:id="4"/>
      <w:bookmarkEnd w:id="5"/>
    </w:p>
    <w:sectPr w:rsidR="00787633" w:rsidSect="00E86C03">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CD3" w:rsidRPr="0039102B" w:rsidRDefault="00A84CD3" w:rsidP="00787633">
      <w:pPr>
        <w:rPr>
          <w:szCs w:val="20"/>
        </w:rPr>
      </w:pPr>
      <w:r>
        <w:separator/>
      </w:r>
    </w:p>
  </w:endnote>
  <w:endnote w:type="continuationSeparator" w:id="1">
    <w:p w:rsidR="00A84CD3" w:rsidRPr="0039102B" w:rsidRDefault="00A84CD3" w:rsidP="00787633">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CD3" w:rsidRPr="0039102B" w:rsidRDefault="00A84CD3" w:rsidP="00787633">
      <w:pPr>
        <w:rPr>
          <w:szCs w:val="20"/>
        </w:rPr>
      </w:pPr>
      <w:r>
        <w:separator/>
      </w:r>
    </w:p>
  </w:footnote>
  <w:footnote w:type="continuationSeparator" w:id="1">
    <w:p w:rsidR="00A84CD3" w:rsidRPr="0039102B" w:rsidRDefault="00A84CD3" w:rsidP="00787633">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2B34"/>
    <w:multiLevelType w:val="multilevel"/>
    <w:tmpl w:val="24422B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4CF028"/>
    <w:multiLevelType w:val="singleLevel"/>
    <w:tmpl w:val="584CF028"/>
    <w:lvl w:ilvl="0">
      <w:start w:val="3"/>
      <w:numFmt w:val="decimal"/>
      <w:suff w:val="nothing"/>
      <w:lvlText w:val="%1."/>
      <w:lvlJc w:val="left"/>
    </w:lvl>
  </w:abstractNum>
  <w:abstractNum w:abstractNumId="2">
    <w:nsid w:val="584D0B76"/>
    <w:multiLevelType w:val="singleLevel"/>
    <w:tmpl w:val="584D0B7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633"/>
    <w:rsid w:val="00787633"/>
    <w:rsid w:val="00A84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33"/>
    <w:pPr>
      <w:widowControl w:val="0"/>
      <w:jc w:val="both"/>
    </w:pPr>
    <w:rPr>
      <w:rFonts w:ascii="Times New Roman" w:eastAsia="宋体" w:hAnsi="Times New Roman" w:cs="Times New Roman"/>
      <w:szCs w:val="24"/>
    </w:rPr>
  </w:style>
  <w:style w:type="paragraph" w:styleId="1">
    <w:name w:val="heading 1"/>
    <w:basedOn w:val="a"/>
    <w:next w:val="a"/>
    <w:link w:val="1Char"/>
    <w:qFormat/>
    <w:rsid w:val="0078763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8763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876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7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7633"/>
    <w:rPr>
      <w:sz w:val="18"/>
      <w:szCs w:val="18"/>
    </w:rPr>
  </w:style>
  <w:style w:type="paragraph" w:styleId="a4">
    <w:name w:val="footer"/>
    <w:basedOn w:val="a"/>
    <w:link w:val="Char0"/>
    <w:unhideWhenUsed/>
    <w:rsid w:val="00787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7633"/>
    <w:rPr>
      <w:sz w:val="18"/>
      <w:szCs w:val="18"/>
    </w:rPr>
  </w:style>
  <w:style w:type="character" w:customStyle="1" w:styleId="1Char">
    <w:name w:val="标题 1 Char"/>
    <w:basedOn w:val="a0"/>
    <w:link w:val="1"/>
    <w:rsid w:val="00787633"/>
    <w:rPr>
      <w:rFonts w:ascii="Times New Roman" w:eastAsia="宋体" w:hAnsi="Times New Roman" w:cs="Times New Roman"/>
      <w:b/>
      <w:bCs/>
      <w:kern w:val="44"/>
      <w:sz w:val="44"/>
      <w:szCs w:val="44"/>
    </w:rPr>
  </w:style>
  <w:style w:type="character" w:customStyle="1" w:styleId="2Char">
    <w:name w:val="标题 2 Char"/>
    <w:basedOn w:val="a0"/>
    <w:link w:val="2"/>
    <w:rsid w:val="00787633"/>
    <w:rPr>
      <w:rFonts w:ascii="Arial" w:eastAsia="黑体" w:hAnsi="Arial" w:cs="Times New Roman"/>
      <w:b/>
      <w:bCs/>
      <w:sz w:val="32"/>
      <w:szCs w:val="32"/>
    </w:rPr>
  </w:style>
  <w:style w:type="character" w:customStyle="1" w:styleId="3Char">
    <w:name w:val="标题 3 Char"/>
    <w:basedOn w:val="a0"/>
    <w:link w:val="3"/>
    <w:rsid w:val="00787633"/>
    <w:rPr>
      <w:rFonts w:ascii="Times New Roman" w:eastAsia="宋体" w:hAnsi="Times New Roman" w:cs="Times New Roman"/>
      <w:b/>
      <w:bCs/>
      <w:sz w:val="32"/>
      <w:szCs w:val="32"/>
    </w:rPr>
  </w:style>
  <w:style w:type="character" w:styleId="a5">
    <w:name w:val="page number"/>
    <w:basedOn w:val="a0"/>
    <w:rsid w:val="00787633"/>
    <w:rPr>
      <w:szCs w:val="20"/>
    </w:rPr>
  </w:style>
  <w:style w:type="character" w:styleId="a6">
    <w:name w:val="Hyperlink"/>
    <w:rsid w:val="00787633"/>
    <w:rPr>
      <w:strike w:val="0"/>
      <w:dstrike w:val="0"/>
      <w:color w:val="136EC2"/>
      <w:u w:val="single"/>
    </w:rPr>
  </w:style>
  <w:style w:type="character" w:styleId="a7">
    <w:name w:val="annotation reference"/>
    <w:basedOn w:val="a0"/>
    <w:semiHidden/>
    <w:rsid w:val="00787633"/>
    <w:rPr>
      <w:sz w:val="21"/>
      <w:szCs w:val="21"/>
    </w:rPr>
  </w:style>
  <w:style w:type="character" w:customStyle="1" w:styleId="Char1">
    <w:name w:val="正文文本 Char"/>
    <w:link w:val="a8"/>
    <w:rsid w:val="00787633"/>
    <w:rPr>
      <w:rFonts w:ascii="Calibri" w:eastAsia="宋体" w:hAnsi="Calibri"/>
      <w:sz w:val="24"/>
      <w:szCs w:val="24"/>
    </w:rPr>
  </w:style>
  <w:style w:type="paragraph" w:styleId="a9">
    <w:name w:val="annotation text"/>
    <w:basedOn w:val="a"/>
    <w:link w:val="Char2"/>
    <w:semiHidden/>
    <w:rsid w:val="00787633"/>
    <w:pPr>
      <w:jc w:val="left"/>
    </w:pPr>
  </w:style>
  <w:style w:type="character" w:customStyle="1" w:styleId="Char2">
    <w:name w:val="批注文字 Char"/>
    <w:basedOn w:val="a0"/>
    <w:link w:val="a9"/>
    <w:semiHidden/>
    <w:rsid w:val="00787633"/>
    <w:rPr>
      <w:rFonts w:ascii="Times New Roman" w:eastAsia="宋体" w:hAnsi="Times New Roman" w:cs="Times New Roman"/>
      <w:szCs w:val="24"/>
    </w:rPr>
  </w:style>
  <w:style w:type="paragraph" w:styleId="20">
    <w:name w:val="toc 2"/>
    <w:basedOn w:val="a"/>
    <w:next w:val="a"/>
    <w:rsid w:val="00787633"/>
    <w:pPr>
      <w:ind w:leftChars="200" w:left="420"/>
    </w:pPr>
  </w:style>
  <w:style w:type="paragraph" w:styleId="aa">
    <w:name w:val="Balloon Text"/>
    <w:basedOn w:val="a"/>
    <w:link w:val="Char3"/>
    <w:semiHidden/>
    <w:rsid w:val="00787633"/>
    <w:rPr>
      <w:sz w:val="18"/>
      <w:szCs w:val="18"/>
    </w:rPr>
  </w:style>
  <w:style w:type="character" w:customStyle="1" w:styleId="Char3">
    <w:name w:val="批注框文本 Char"/>
    <w:basedOn w:val="a0"/>
    <w:link w:val="aa"/>
    <w:semiHidden/>
    <w:rsid w:val="00787633"/>
    <w:rPr>
      <w:rFonts w:ascii="Times New Roman" w:eastAsia="宋体" w:hAnsi="Times New Roman" w:cs="Times New Roman"/>
      <w:sz w:val="18"/>
      <w:szCs w:val="18"/>
    </w:rPr>
  </w:style>
  <w:style w:type="paragraph" w:styleId="ab">
    <w:name w:val="Normal (Web)"/>
    <w:basedOn w:val="a"/>
    <w:rsid w:val="00787633"/>
    <w:pPr>
      <w:widowControl/>
      <w:spacing w:before="100" w:beforeAutospacing="1" w:after="100" w:afterAutospacing="1"/>
      <w:jc w:val="left"/>
    </w:pPr>
    <w:rPr>
      <w:rFonts w:ascii="宋体" w:hAnsi="宋体"/>
      <w:kern w:val="0"/>
      <w:sz w:val="24"/>
    </w:rPr>
  </w:style>
  <w:style w:type="paragraph" w:styleId="a8">
    <w:name w:val="Body Text"/>
    <w:basedOn w:val="a"/>
    <w:link w:val="Char1"/>
    <w:rsid w:val="00787633"/>
    <w:pPr>
      <w:widowControl/>
      <w:spacing w:after="120"/>
      <w:jc w:val="left"/>
    </w:pPr>
    <w:rPr>
      <w:rFonts w:ascii="Calibri" w:hAnsi="Calibri" w:cstheme="minorBidi"/>
      <w:sz w:val="24"/>
    </w:rPr>
  </w:style>
  <w:style w:type="character" w:customStyle="1" w:styleId="Char10">
    <w:name w:val="正文文本 Char1"/>
    <w:basedOn w:val="a0"/>
    <w:link w:val="a8"/>
    <w:uiPriority w:val="99"/>
    <w:semiHidden/>
    <w:rsid w:val="00787633"/>
    <w:rPr>
      <w:rFonts w:ascii="Times New Roman" w:eastAsia="宋体" w:hAnsi="Times New Roman" w:cs="Times New Roman"/>
      <w:szCs w:val="24"/>
    </w:rPr>
  </w:style>
  <w:style w:type="paragraph" w:styleId="ac">
    <w:name w:val="annotation subject"/>
    <w:basedOn w:val="a9"/>
    <w:next w:val="a9"/>
    <w:link w:val="Char4"/>
    <w:semiHidden/>
    <w:rsid w:val="00787633"/>
    <w:rPr>
      <w:b/>
      <w:bCs/>
    </w:rPr>
  </w:style>
  <w:style w:type="character" w:customStyle="1" w:styleId="Char4">
    <w:name w:val="批注主题 Char"/>
    <w:basedOn w:val="Char2"/>
    <w:link w:val="ac"/>
    <w:semiHidden/>
    <w:rsid w:val="00787633"/>
    <w:rPr>
      <w:b/>
      <w:bCs/>
    </w:rPr>
  </w:style>
  <w:style w:type="paragraph" w:styleId="10">
    <w:name w:val="toc 1"/>
    <w:basedOn w:val="a"/>
    <w:next w:val="a"/>
    <w:rsid w:val="00787633"/>
  </w:style>
  <w:style w:type="paragraph" w:customStyle="1" w:styleId="Char11">
    <w:name w:val="Char1"/>
    <w:basedOn w:val="a"/>
    <w:rsid w:val="00787633"/>
    <w:pPr>
      <w:widowControl/>
      <w:spacing w:after="160" w:line="240" w:lineRule="exact"/>
      <w:jc w:val="left"/>
    </w:pPr>
    <w:rPr>
      <w:szCs w:val="20"/>
    </w:rPr>
  </w:style>
  <w:style w:type="paragraph" w:customStyle="1" w:styleId="Char5">
    <w:name w:val="Char"/>
    <w:basedOn w:val="a"/>
    <w:rsid w:val="00787633"/>
    <w:rPr>
      <w:rFonts w:ascii="Tahoma" w:hAnsi="Tahoma"/>
      <w:sz w:val="24"/>
      <w:szCs w:val="20"/>
    </w:rPr>
  </w:style>
  <w:style w:type="paragraph" w:customStyle="1" w:styleId="CharChar1">
    <w:name w:val="Char Char1"/>
    <w:basedOn w:val="a"/>
    <w:rsid w:val="00787633"/>
  </w:style>
  <w:style w:type="paragraph" w:customStyle="1" w:styleId="Style1">
    <w:name w:val="_Style 1"/>
    <w:basedOn w:val="a"/>
    <w:uiPriority w:val="34"/>
    <w:qFormat/>
    <w:rsid w:val="00787633"/>
    <w:pPr>
      <w:ind w:firstLineChars="200" w:firstLine="420"/>
    </w:pPr>
  </w:style>
  <w:style w:type="table" w:styleId="ad">
    <w:name w:val="Table Grid"/>
    <w:basedOn w:val="a1"/>
    <w:rsid w:val="007876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787633"/>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2017-01-08T08:12:00Z</dcterms:created>
  <dcterms:modified xsi:type="dcterms:W3CDTF">2017-01-08T08:15:00Z</dcterms:modified>
</cp:coreProperties>
</file>