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汕头职业技术学院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数字化校园3.0（一期）建设项目需求书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楷体" w:hAnsi="楷体" w:eastAsia="楷体" w:cs="仿宋"/>
          <w:b/>
          <w:bCs/>
          <w:sz w:val="32"/>
          <w:szCs w:val="32"/>
        </w:rPr>
      </w:pPr>
      <w:r>
        <w:rPr>
          <w:rFonts w:hint="eastAsia" w:ascii="楷体" w:hAnsi="楷体" w:eastAsia="楷体" w:cs="仿宋"/>
          <w:b/>
          <w:bCs/>
          <w:sz w:val="32"/>
          <w:szCs w:val="32"/>
        </w:rPr>
        <w:t>一、项目基本情况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1.项目名称：汕头职业技术学院数字化校园3.0（一期）建设项目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2.项目建设规模及内容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）本项目为信息化建设类项目。涵盖基础设施层、支撑平台层及应用平台层建设。新</w:t>
      </w:r>
      <w:r>
        <w:rPr>
          <w:rFonts w:ascii="仿宋" w:hAnsi="仿宋" w:eastAsia="仿宋" w:cs="仿宋"/>
          <w:sz w:val="32"/>
          <w:szCs w:val="32"/>
        </w:rPr>
        <w:t>数据中心机房位于院本部第三实训楼二楼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>占地面</w:t>
      </w:r>
      <w:r>
        <w:rPr>
          <w:rFonts w:hint="eastAsia" w:ascii="仿宋" w:hAnsi="仿宋" w:eastAsia="仿宋" w:cs="仿宋"/>
          <w:sz w:val="32"/>
          <w:szCs w:val="32"/>
        </w:rPr>
        <w:t>积约200平方</w:t>
      </w:r>
      <w:r>
        <w:rPr>
          <w:rFonts w:ascii="仿宋" w:hAnsi="仿宋" w:eastAsia="仿宋" w:cs="仿宋"/>
          <w:sz w:val="32"/>
          <w:szCs w:val="32"/>
        </w:rPr>
        <w:t>米。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）基础设施层建设内容</w:t>
      </w:r>
      <w:r>
        <w:rPr>
          <w:rFonts w:ascii="仿宋" w:hAnsi="仿宋" w:eastAsia="仿宋" w:cs="仿宋"/>
          <w:sz w:val="32"/>
          <w:szCs w:val="32"/>
        </w:rPr>
        <w:t>包括</w:t>
      </w:r>
      <w:r>
        <w:rPr>
          <w:rFonts w:hint="eastAsia" w:ascii="仿宋" w:hAnsi="仿宋" w:eastAsia="仿宋" w:cs="仿宋"/>
          <w:sz w:val="32"/>
          <w:szCs w:val="32"/>
        </w:rPr>
        <w:t>新数据中心机房建设、超融合云资源建设和智慧教室建设；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）支撑平台层建设内容包括完善信息标准和规范、信息编码标准和数据交换标准，建设业务中台、</w:t>
      </w:r>
      <w:r>
        <w:rPr>
          <w:rFonts w:ascii="仿宋" w:hAnsi="仿宋" w:eastAsia="仿宋" w:cs="仿宋"/>
          <w:sz w:val="32"/>
          <w:szCs w:val="32"/>
        </w:rPr>
        <w:t>数据中台</w:t>
      </w:r>
      <w:r>
        <w:rPr>
          <w:rFonts w:hint="eastAsia" w:ascii="仿宋" w:hAnsi="仿宋" w:eastAsia="仿宋" w:cs="仿宋"/>
          <w:sz w:val="32"/>
          <w:szCs w:val="32"/>
        </w:rPr>
        <w:t>等；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）应用平台层建设内容包括教育事业统计平台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绩效考核综合评价系统、</w:t>
      </w:r>
      <w:r>
        <w:rPr>
          <w:rFonts w:hint="eastAsia" w:ascii="仿宋" w:hAnsi="仿宋" w:eastAsia="仿宋" w:cs="仿宋"/>
          <w:sz w:val="32"/>
          <w:szCs w:val="32"/>
        </w:rPr>
        <w:t>人事管理信息系统、和网上办事大厅扩展等建设项目。</w:t>
      </w:r>
    </w:p>
    <w:p>
      <w:pPr>
        <w:spacing w:line="560" w:lineRule="exact"/>
        <w:ind w:firstLine="643" w:firstLineChars="200"/>
        <w:rPr>
          <w:rFonts w:ascii="楷体" w:hAnsi="楷体" w:eastAsia="楷体" w:cs="仿宋"/>
          <w:b/>
          <w:bCs/>
          <w:sz w:val="32"/>
          <w:szCs w:val="32"/>
        </w:rPr>
      </w:pPr>
      <w:bookmarkStart w:id="0" w:name="_Toc453497734"/>
      <w:r>
        <w:rPr>
          <w:rFonts w:hint="eastAsia" w:ascii="楷体" w:hAnsi="楷体" w:eastAsia="楷体" w:cs="仿宋"/>
          <w:b/>
          <w:bCs/>
          <w:sz w:val="32"/>
          <w:szCs w:val="32"/>
        </w:rPr>
        <w:t>二</w:t>
      </w:r>
      <w:r>
        <w:rPr>
          <w:rFonts w:ascii="楷体" w:hAnsi="楷体" w:eastAsia="楷体" w:cs="仿宋"/>
          <w:b/>
          <w:bCs/>
          <w:sz w:val="32"/>
          <w:szCs w:val="32"/>
        </w:rPr>
        <w:t>、</w:t>
      </w:r>
      <w:r>
        <w:rPr>
          <w:rFonts w:hint="eastAsia" w:ascii="楷体" w:hAnsi="楷体" w:eastAsia="楷体" w:cs="仿宋"/>
          <w:b/>
          <w:bCs/>
          <w:sz w:val="32"/>
          <w:szCs w:val="32"/>
        </w:rPr>
        <w:t>项目</w:t>
      </w:r>
      <w:bookmarkEnd w:id="0"/>
      <w:r>
        <w:rPr>
          <w:rFonts w:hint="eastAsia" w:ascii="楷体" w:hAnsi="楷体" w:eastAsia="楷体" w:cs="仿宋"/>
          <w:b/>
          <w:bCs/>
          <w:sz w:val="32"/>
          <w:szCs w:val="32"/>
        </w:rPr>
        <w:t>建设目标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落实《教育信息化 2.0 行动计划》、《中国教育现代化2035》、《加快推进教育现代化实施方案（2018－2022年）》、《职业院校数字校园规范》（教职成函〔2020〕3号）、《教育部等九部门关于印发&lt;职业教育提质培优行动计划（2020-2023年）&gt;的通知》（教职成〔2020〕7号）等政策文件与规范文件的要求，参考《汕头职业技术学院数字化校园3.0建设（2021-2025年）总体规划方案》，根据《汕头职业技术学院数字化校园3.0建设项目设计方案》，完成汕头职业技术学院数字化校园3.0（一期）建设项目采购，内容涵盖基础设施层、支撑平台层与应用平台层。</w:t>
      </w:r>
    </w:p>
    <w:p>
      <w:pPr>
        <w:spacing w:line="560" w:lineRule="exact"/>
        <w:ind w:firstLine="643" w:firstLineChars="200"/>
        <w:rPr>
          <w:rFonts w:ascii="楷体" w:hAnsi="楷体" w:eastAsia="楷体" w:cs="仿宋"/>
          <w:b/>
          <w:bCs/>
          <w:sz w:val="32"/>
          <w:szCs w:val="32"/>
        </w:rPr>
      </w:pPr>
      <w:r>
        <w:rPr>
          <w:rFonts w:hint="eastAsia" w:ascii="楷体" w:hAnsi="楷体" w:eastAsia="楷体" w:cs="仿宋"/>
          <w:b/>
          <w:bCs/>
          <w:sz w:val="32"/>
          <w:szCs w:val="32"/>
        </w:rPr>
        <w:t>三</w:t>
      </w:r>
      <w:r>
        <w:rPr>
          <w:rFonts w:ascii="楷体" w:hAnsi="楷体" w:eastAsia="楷体" w:cs="仿宋"/>
          <w:b/>
          <w:bCs/>
          <w:sz w:val="32"/>
          <w:szCs w:val="32"/>
        </w:rPr>
        <w:t>、</w:t>
      </w:r>
      <w:r>
        <w:rPr>
          <w:rFonts w:hint="eastAsia" w:ascii="楷体" w:hAnsi="楷体" w:eastAsia="楷体" w:cs="仿宋"/>
          <w:b/>
          <w:bCs/>
          <w:sz w:val="32"/>
          <w:szCs w:val="32"/>
        </w:rPr>
        <w:t>项目实施要求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1.要求一次性资金投入，方便后续学校的维护管理及升级扩容； 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2.设备产权归属问题。项目投入建设校园信息化的所有软硬件设备产权归学校所有；                       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3.采购模式灵活，建议由银行协助采购；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4.付款方式。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）首期：合同签订之日起</w:t>
      </w:r>
      <w:r>
        <w:rPr>
          <w:rFonts w:ascii="仿宋" w:hAnsi="仿宋" w:eastAsia="仿宋" w:cs="仿宋"/>
          <w:sz w:val="32"/>
          <w:szCs w:val="32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个工作日内支付合同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款总额的</w:t>
      </w:r>
      <w:r>
        <w:rPr>
          <w:rFonts w:ascii="仿宋" w:hAnsi="仿宋" w:eastAsia="仿宋" w:cs="仿宋"/>
          <w:sz w:val="32"/>
          <w:szCs w:val="32"/>
        </w:rPr>
        <w:t>30%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）第二期：主要货物到货后（网络硬件设备），</w:t>
      </w:r>
      <w:r>
        <w:rPr>
          <w:rFonts w:ascii="仿宋" w:hAnsi="仿宋" w:eastAsia="仿宋" w:cs="仿宋"/>
          <w:sz w:val="32"/>
          <w:szCs w:val="32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个工作日内支付合同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款总额的</w:t>
      </w:r>
      <w:r>
        <w:rPr>
          <w:rFonts w:ascii="仿宋" w:hAnsi="仿宋" w:eastAsia="仿宋" w:cs="仿宋"/>
          <w:sz w:val="32"/>
          <w:szCs w:val="32"/>
        </w:rPr>
        <w:t>40%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）第三期：项目验收合格出具验收报告、交付确认书，支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付合同款总额的</w:t>
      </w:r>
      <w:r>
        <w:rPr>
          <w:rFonts w:hint="eastAsia" w:ascii="仿宋" w:hAnsi="仿宋" w:eastAsia="仿宋" w:cs="仿宋"/>
          <w:sz w:val="32"/>
          <w:szCs w:val="32"/>
        </w:rPr>
        <w:t>27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%。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第四期：质保期内如无出现质量问题，质保期满之日起</w:t>
      </w:r>
      <w:r>
        <w:rPr>
          <w:rFonts w:ascii="仿宋" w:hAnsi="仿宋" w:eastAsia="仿宋" w:cs="仿宋"/>
          <w:sz w:val="32"/>
          <w:szCs w:val="32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个工作日内付清质保金</w:t>
      </w:r>
      <w:r>
        <w:rPr>
          <w:rFonts w:ascii="仿宋" w:hAnsi="仿宋" w:eastAsia="仿宋" w:cs="仿宋"/>
          <w:sz w:val="32"/>
          <w:szCs w:val="32"/>
        </w:rPr>
        <w:t>3%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60" w:lineRule="exact"/>
        <w:ind w:firstLine="562" w:firstLineChars="200"/>
        <w:rPr>
          <w:rFonts w:ascii="楷体" w:hAnsi="楷体" w:eastAsia="楷体" w:cs="仿宋"/>
          <w:b/>
          <w:bCs/>
          <w:sz w:val="28"/>
          <w:szCs w:val="28"/>
        </w:rPr>
      </w:pPr>
      <w:r>
        <w:rPr>
          <w:rFonts w:hint="eastAsia" w:ascii="楷体" w:hAnsi="楷体" w:eastAsia="楷体" w:cs="仿宋"/>
          <w:b/>
          <w:bCs/>
          <w:sz w:val="28"/>
          <w:szCs w:val="28"/>
        </w:rPr>
        <w:t>四</w:t>
      </w:r>
      <w:r>
        <w:rPr>
          <w:rFonts w:ascii="楷体" w:hAnsi="楷体" w:eastAsia="楷体" w:cs="仿宋"/>
          <w:b/>
          <w:bCs/>
          <w:sz w:val="28"/>
          <w:szCs w:val="28"/>
        </w:rPr>
        <w:t>、</w:t>
      </w:r>
      <w:r>
        <w:rPr>
          <w:rFonts w:hint="eastAsia" w:ascii="楷体" w:hAnsi="楷体" w:eastAsia="楷体" w:cs="仿宋"/>
          <w:b/>
          <w:bCs/>
          <w:sz w:val="28"/>
          <w:szCs w:val="28"/>
        </w:rPr>
        <w:t>项目建设内容清单</w:t>
      </w:r>
    </w:p>
    <w:p>
      <w:pPr>
        <w:pStyle w:val="2"/>
      </w:pPr>
    </w:p>
    <w:p/>
    <w:p>
      <w:pPr>
        <w:pStyle w:val="2"/>
      </w:pPr>
    </w:p>
    <w:p/>
    <w:tbl>
      <w:tblPr>
        <w:tblStyle w:val="6"/>
        <w:tblW w:w="925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650"/>
        <w:gridCol w:w="1527"/>
        <w:gridCol w:w="5855"/>
        <w:gridCol w:w="7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子项名称</w:t>
            </w:r>
          </w:p>
        </w:tc>
        <w:tc>
          <w:tcPr>
            <w:tcW w:w="5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建设内容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基础设施层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数据中心机房建设</w:t>
            </w:r>
          </w:p>
        </w:tc>
        <w:tc>
          <w:tcPr>
            <w:tcW w:w="5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数据中心机房面积约200平方米，包括机房装修工程、智能微模块系统、UPS系统及配套、机房管理系统、机房电气系统、机房空调系统、机房新风系统、防雷接地系统、机房消防系统、机房综合布线、大屏显示系统、其他配套以及老机房搬迁割接等内容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超融合云资源扩容</w:t>
            </w:r>
          </w:p>
        </w:tc>
        <w:tc>
          <w:tcPr>
            <w:tcW w:w="5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扩容超融合云计算中心，支撑学校数字化校园业务系统及中台的部署运行。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智慧教室建设</w:t>
            </w:r>
          </w:p>
        </w:tc>
        <w:tc>
          <w:tcPr>
            <w:tcW w:w="5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新建1间互动型智慧教室，面积约100平方米，建设内容包括智慧黑板、教室照明系统、云控教室系统（含多媒体及环境监控终端）、精品录播系统、电子班牌系统以及教室室内装修。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highlight w:val="gree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8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支撑平台层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信息标准规范、信息编码标准和数据交换标准完善</w:t>
            </w:r>
          </w:p>
        </w:tc>
        <w:tc>
          <w:tcPr>
            <w:tcW w:w="5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包括标准建设概览、数据项标准管理、代码标准管理、数据版本管理以及数据审核。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业务中台建设</w:t>
            </w:r>
          </w:p>
        </w:tc>
        <w:tc>
          <w:tcPr>
            <w:tcW w:w="5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包括融合门户平台以及聚合身份认证平台。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数据中台建设</w:t>
            </w:r>
          </w:p>
        </w:tc>
        <w:tc>
          <w:tcPr>
            <w:tcW w:w="5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包括主数据管理、数据调研系统、数据交换管理平台、数据服务平台。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应用平台层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教育事业统计平台</w:t>
            </w:r>
          </w:p>
        </w:tc>
        <w:tc>
          <w:tcPr>
            <w:tcW w:w="5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包括数据采集填报、填报浏览、数据管理、指标库管理以及系统管理。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绩效考核综合评价系统</w:t>
            </w:r>
          </w:p>
        </w:tc>
        <w:tc>
          <w:tcPr>
            <w:tcW w:w="5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包括数据采集填报、指标库管理、批次管理、考核与考评等。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人事管理信息系统</w:t>
            </w:r>
          </w:p>
        </w:tc>
        <w:tc>
          <w:tcPr>
            <w:tcW w:w="5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包括个人中心、人员基本信息、组织机构管理、人才招聘管理、信息采集管理、人员异动管理、合同管理、考勤管理、培训管理、职称评审管理、人事统计管理、薪资管理、人事工作基础数据管理等。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网上办事大厅扩展</w:t>
            </w:r>
          </w:p>
        </w:tc>
        <w:tc>
          <w:tcPr>
            <w:tcW w:w="5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系统扩容，包括个人工作台、服务中心、管理平台、个人数据中心、办事流程清单。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</w:tbl>
    <w:p>
      <w:pPr>
        <w:pStyle w:val="2"/>
      </w:pPr>
    </w:p>
    <w:p/>
    <w:p>
      <w:pPr>
        <w:pStyle w:val="2"/>
        <w:ind w:firstLine="3990" w:firstLineChars="1900"/>
      </w:pPr>
    </w:p>
    <w:sectPr>
      <w:footerReference r:id="rId3" w:type="default"/>
      <w:pgSz w:w="11906" w:h="16838"/>
      <w:pgMar w:top="1440" w:right="1463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kYTg3ZTY0ODIwNDUzYzQ3YjE4Y2FhOTYzZWIxZTYifQ=="/>
  </w:docVars>
  <w:rsids>
    <w:rsidRoot w:val="4B840066"/>
    <w:rsid w:val="0017495F"/>
    <w:rsid w:val="00286678"/>
    <w:rsid w:val="003E3523"/>
    <w:rsid w:val="00974356"/>
    <w:rsid w:val="009E415E"/>
    <w:rsid w:val="00D611A2"/>
    <w:rsid w:val="00D67D98"/>
    <w:rsid w:val="02233653"/>
    <w:rsid w:val="03D03195"/>
    <w:rsid w:val="04696342"/>
    <w:rsid w:val="06F87297"/>
    <w:rsid w:val="10571D61"/>
    <w:rsid w:val="14B12C6C"/>
    <w:rsid w:val="14D021C5"/>
    <w:rsid w:val="169D134E"/>
    <w:rsid w:val="16CC0D80"/>
    <w:rsid w:val="1A4B7152"/>
    <w:rsid w:val="1FC62C18"/>
    <w:rsid w:val="25D151F1"/>
    <w:rsid w:val="25F37DBF"/>
    <w:rsid w:val="2EB27EB2"/>
    <w:rsid w:val="30276CA9"/>
    <w:rsid w:val="35C52909"/>
    <w:rsid w:val="388F184D"/>
    <w:rsid w:val="395A077D"/>
    <w:rsid w:val="3C5C5193"/>
    <w:rsid w:val="3E64676D"/>
    <w:rsid w:val="427D0694"/>
    <w:rsid w:val="47C26F18"/>
    <w:rsid w:val="49A21D40"/>
    <w:rsid w:val="4B840066"/>
    <w:rsid w:val="4BA66508"/>
    <w:rsid w:val="4F7A20C6"/>
    <w:rsid w:val="51557738"/>
    <w:rsid w:val="5A7D64D2"/>
    <w:rsid w:val="604F4A23"/>
    <w:rsid w:val="61575346"/>
    <w:rsid w:val="615C0B64"/>
    <w:rsid w:val="67D04A19"/>
    <w:rsid w:val="74025F16"/>
    <w:rsid w:val="79EF72BC"/>
    <w:rsid w:val="7B167417"/>
    <w:rsid w:val="7E28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Body Text"/>
    <w:basedOn w:val="1"/>
    <w:qFormat/>
    <w:uiPriority w:val="0"/>
    <w:pPr>
      <w:spacing w:after="120"/>
    </w:pPr>
    <w:rPr>
      <w:rFonts w:ascii="Tahoma" w:hAnsi="Tahoma" w:eastAsia="方正小标宋简体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font11"/>
    <w:basedOn w:val="7"/>
    <w:qFormat/>
    <w:uiPriority w:val="0"/>
    <w:rPr>
      <w:rFonts w:hint="eastAsia" w:ascii="仿宋" w:hAnsi="仿宋" w:eastAsia="仿宋"/>
      <w:color w:val="000000"/>
      <w:sz w:val="24"/>
      <w:szCs w:val="24"/>
      <w:u w:val="none"/>
    </w:rPr>
  </w:style>
  <w:style w:type="character" w:customStyle="1" w:styleId="9">
    <w:name w:val="font31"/>
    <w:basedOn w:val="7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1403</Words>
  <Characters>1470</Characters>
  <Lines>16</Lines>
  <Paragraphs>4</Paragraphs>
  <TotalTime>1</TotalTime>
  <ScaleCrop>false</ScaleCrop>
  <LinksUpToDate>false</LinksUpToDate>
  <CharactersWithSpaces>1497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2022-11-06T00:43:00Z</dcterms:created>
  <dc:creator>Administrator</dc:creator>
  <cp:lastModifiedBy>在水一方</cp:lastModifiedBy>
  <dcterms:modified xsi:type="dcterms:W3CDTF">2023-06-13T15:14:52Z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4A1BC8F5E8E54A0CB557B5D8AB9D04B8_13</vt:lpwstr>
  </property>
</Properties>
</file>