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904D">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jc w:val="center"/>
        <w:textAlignment w:val="auto"/>
        <w:outlineLvl w:val="0"/>
        <w:rPr>
          <w:rFonts w:asciiTheme="minorEastAsia" w:hAnsiTheme="minorEastAsia"/>
          <w:b/>
          <w:sz w:val="28"/>
          <w:szCs w:val="28"/>
        </w:rPr>
      </w:pPr>
      <w:bookmarkStart w:id="0" w:name="_Toc6514"/>
      <w:bookmarkStart w:id="1" w:name="_Toc17794"/>
      <w:bookmarkStart w:id="2" w:name="_Toc29506"/>
      <w:r>
        <w:rPr>
          <w:rFonts w:cs="宋体" w:asciiTheme="minorEastAsia" w:hAnsiTheme="minorEastAsia"/>
          <w:b/>
          <w:color w:val="000000"/>
          <w:sz w:val="28"/>
          <w:szCs w:val="28"/>
        </w:rPr>
        <w:t>汕头职业技术学院二级学院考核办法(试行)</w:t>
      </w:r>
      <w:bookmarkEnd w:id="0"/>
      <w:bookmarkEnd w:id="1"/>
      <w:bookmarkEnd w:id="2"/>
    </w:p>
    <w:p w14:paraId="3F0BE1D5">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jc w:val="center"/>
        <w:textAlignment w:val="auto"/>
        <w:outlineLvl w:val="1"/>
        <w:rPr>
          <w:rFonts w:asciiTheme="minorEastAsia" w:hAnsiTheme="minorEastAsia"/>
          <w:b/>
          <w:sz w:val="24"/>
          <w:szCs w:val="24"/>
        </w:rPr>
      </w:pPr>
      <w:bookmarkStart w:id="3" w:name="_Toc28952"/>
      <w:bookmarkStart w:id="4" w:name="_Toc5758"/>
      <w:r>
        <w:rPr>
          <w:rFonts w:cs="宋体" w:asciiTheme="minorEastAsia" w:hAnsiTheme="minorEastAsia"/>
          <w:b/>
          <w:color w:val="000000"/>
          <w:sz w:val="24"/>
          <w:szCs w:val="24"/>
        </w:rPr>
        <w:t>第一章 总则</w:t>
      </w:r>
      <w:bookmarkEnd w:id="3"/>
      <w:bookmarkEnd w:id="4"/>
      <w:bookmarkStart w:id="19" w:name="_GoBack"/>
      <w:bookmarkEnd w:id="19"/>
    </w:p>
    <w:p w14:paraId="03B3E78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第一条</w:t>
      </w:r>
      <w:r>
        <w:rPr>
          <w:rFonts w:cs="宋体" w:asciiTheme="minorEastAsia" w:hAnsiTheme="minorEastAsia"/>
          <w:color w:val="000000"/>
          <w:sz w:val="24"/>
        </w:rPr>
        <w:t xml:space="preserve"> 指导思想。为进一步优化我校治理结构，提升办学质量，加强二级学院目标管理、完善激励机制，充分发挥考核的导向、激励和约束作用，客观、公正地评价各二级学院贯彻落实学校重点工作和工作绩效情况，激励督促各二级学院教职员工明确工作目标，落实工作职责，增强服务意识，增创发展优势，提升工作效率，根据《事业单位工作人员考核规定》(人社部发〔2023〕6号)、《党政领导干部考核工作条例》，结合学校实际情况，制定本办法。</w:t>
      </w:r>
    </w:p>
    <w:p w14:paraId="31879071">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第二条</w:t>
      </w:r>
      <w:r>
        <w:rPr>
          <w:rFonts w:cs="宋体" w:asciiTheme="minorEastAsia" w:hAnsiTheme="minorEastAsia"/>
          <w:color w:val="000000"/>
          <w:sz w:val="24"/>
        </w:rPr>
        <w:t xml:space="preserve"> 基本原则</w:t>
      </w:r>
    </w:p>
    <w:p w14:paraId="68ACBB1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(一)突出主责主业；</w:t>
      </w:r>
    </w:p>
    <w:p w14:paraId="7ACE0E6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(二)定性定量结合；</w:t>
      </w:r>
    </w:p>
    <w:p w14:paraId="552DD7E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(三)强化结果运用。</w:t>
      </w:r>
    </w:p>
    <w:p w14:paraId="6732365B">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第三条</w:t>
      </w:r>
      <w:r>
        <w:rPr>
          <w:rFonts w:cs="宋体" w:asciiTheme="minorEastAsia" w:hAnsiTheme="minorEastAsia"/>
          <w:color w:val="000000"/>
          <w:sz w:val="24"/>
        </w:rPr>
        <w:t xml:space="preserve"> 考核内容</w:t>
      </w:r>
    </w:p>
    <w:p w14:paraId="7FD834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对二级学院的考核内容主要包括政治思想建设、工作实绩、党风廉政建设、作风建设等方面。</w:t>
      </w:r>
    </w:p>
    <w:p w14:paraId="57C21B8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突出政治思想建设考核。强化对学习贯彻党的二十大精神、贯彻落实习近平新时代中国特色社会主义思想情况的考核；强化对落实习近平总书记重要指示批示精神和党中央决策部署情况的考核；强化对忠诚拥护“两个确立”、增强“四个意识”、坚定“四个自信”、做到“两个维护”，遵守党的政治纪律和政治规矩的情况的考核。</w:t>
      </w:r>
    </w:p>
    <w:p w14:paraId="67F1FC1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(二)突出高质量发展工作实绩考核。重点考核落实中央、省、市以及学校决策部署和完成目标任务的情况；推动人才培养、科学研究、社会服务、文化传承创新、国际交流合作等工作的情况。</w:t>
      </w:r>
    </w:p>
    <w:p w14:paraId="2D504A2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突出作风建设考核。重点考核坚持以人民为中心，贯彻党的群众路线，全心全意为人民服务等情况；精神状态、工作作风、履行一岗双责等情况；落实中央八项规定及其实施细则精神，遵守廉洁自律准则等情况。</w:t>
      </w:r>
    </w:p>
    <w:p w14:paraId="7E9343F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四)突出党建工作成效考核。重点考核坚定不移全面从严治党、深入推进新时代党的建设新的伟大工程，坚持党的全面领导情况；坚定不移推进反腐败斗争，推动全面从严治党向纵深发展的情况；贯彻领导班子建设规划，提高领导班子建设质量的情况；推进基层党建三年行动计划，发挥基层党组织战斗堡垒作用和党员先进模范作用的情况。</w:t>
      </w:r>
    </w:p>
    <w:p w14:paraId="010EC5A8">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ind w:firstLine="482" w:firstLineChars="200"/>
        <w:jc w:val="center"/>
        <w:textAlignment w:val="auto"/>
        <w:outlineLvl w:val="1"/>
        <w:rPr>
          <w:rFonts w:asciiTheme="minorEastAsia" w:hAnsiTheme="minorEastAsia"/>
          <w:b/>
          <w:sz w:val="24"/>
          <w:szCs w:val="24"/>
        </w:rPr>
      </w:pPr>
      <w:bookmarkStart w:id="5" w:name="_Toc15443"/>
      <w:bookmarkStart w:id="6" w:name="_Toc19919"/>
      <w:r>
        <w:rPr>
          <w:rFonts w:cs="宋体" w:asciiTheme="minorEastAsia" w:hAnsiTheme="minorEastAsia"/>
          <w:b/>
          <w:color w:val="000000"/>
          <w:sz w:val="24"/>
          <w:szCs w:val="24"/>
        </w:rPr>
        <w:t>第二章 考核机构</w:t>
      </w:r>
      <w:bookmarkEnd w:id="5"/>
      <w:bookmarkEnd w:id="6"/>
    </w:p>
    <w:p w14:paraId="1E6A0BF4">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第四条</w:t>
      </w:r>
      <w:r>
        <w:rPr>
          <w:rFonts w:cs="宋体" w:asciiTheme="minorEastAsia" w:hAnsiTheme="minorEastAsia"/>
          <w:color w:val="000000"/>
          <w:sz w:val="24"/>
        </w:rPr>
        <w:t xml:space="preserve"> 指定学校考核小组牵头组织考核工作。学校考核小组由分管组织人事工作的学校领导，党委办公室、监察室、学院办公室、组织人事部门、教学督导室等部门人员组成。考核小组成员按有关规定实行回避制度。学校考核小组办公室设在学院党委组织部(人事处)。</w:t>
      </w:r>
    </w:p>
    <w:p w14:paraId="43D2F258">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ind w:firstLine="482" w:firstLineChars="200"/>
        <w:jc w:val="center"/>
        <w:textAlignment w:val="auto"/>
        <w:outlineLvl w:val="1"/>
        <w:rPr>
          <w:rFonts w:asciiTheme="minorEastAsia" w:hAnsiTheme="minorEastAsia"/>
          <w:b/>
          <w:sz w:val="24"/>
          <w:szCs w:val="24"/>
        </w:rPr>
      </w:pPr>
      <w:bookmarkStart w:id="7" w:name="_Toc41"/>
      <w:bookmarkStart w:id="8" w:name="_Toc3427"/>
      <w:r>
        <w:rPr>
          <w:rFonts w:cs="宋体" w:asciiTheme="minorEastAsia" w:hAnsiTheme="minorEastAsia"/>
          <w:b/>
          <w:color w:val="000000"/>
          <w:sz w:val="24"/>
          <w:szCs w:val="24"/>
        </w:rPr>
        <w:t>第三章 考核指标体系</w:t>
      </w:r>
      <w:bookmarkEnd w:id="7"/>
      <w:bookmarkEnd w:id="8"/>
    </w:p>
    <w:p w14:paraId="4CE0FF9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bCs/>
          <w:color w:val="000000"/>
          <w:sz w:val="24"/>
        </w:rPr>
        <w:t>第五条</w:t>
      </w:r>
      <w:r>
        <w:rPr>
          <w:rFonts w:cs="宋体" w:asciiTheme="minorEastAsia" w:hAnsiTheme="minorEastAsia"/>
          <w:color w:val="000000"/>
          <w:sz w:val="24"/>
        </w:rPr>
        <w:t xml:space="preserve"> 考核内容。考核二级学院年度职责落实情况，运行管理状况，重点考核党建工作、创新强校工作、“双高”院校建设工作完成情况。</w:t>
      </w:r>
    </w:p>
    <w:p w14:paraId="08D758E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第六条</w:t>
      </w:r>
      <w:r>
        <w:rPr>
          <w:rFonts w:cs="宋体" w:asciiTheme="minorEastAsia" w:hAnsiTheme="minorEastAsia"/>
          <w:bCs/>
          <w:color w:val="000000"/>
          <w:sz w:val="24"/>
        </w:rPr>
        <w:t xml:space="preserve"> 考核指标、评价主体与权重。</w:t>
      </w:r>
    </w:p>
    <w:p w14:paraId="70A621C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党建”工作考核。该项考核占总分的30%。由党委办公室、党委组织部牵头对各二级学院党建工作量化考核。党建工作考核包括党总支书记抓基层党建述职测评和落实党建工作情况考核，落实党建工作具体考核指标见附件1。</w:t>
      </w:r>
    </w:p>
    <w:p w14:paraId="1F91CF2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(二)“创新强校”工作考核。该项考核占总分的30%。由教学督导室牵头对各二级学院承担的“创新强校工程”任务的组织、实施、完成情况进行量化考核。具体考核指标见附件2。</w:t>
      </w:r>
    </w:p>
    <w:p w14:paraId="344498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(三)“双高”建设工作考核。该项考核占总分的30%。由教学督导室牵头对各二级学院承担的“双高”院校建设任务的组织、实施、完成情况进行量化考核。具体考核指标见附件3。</w:t>
      </w:r>
    </w:p>
    <w:p w14:paraId="05E4F72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(四)部门工作综合评价。本项得分占总分的10%，包括综合测评和人才培养其他重点工作评价两个部分，各占本部分得分的 50%。综合测评采取学院领导评价、部门互评 (非二级学院对二级学院进行评价)、本部门测评三个评价主体相结合的考核方法，各评价主体的权重分别为0.50、0.40、0.10。人才培养其他重点工作(含履行“一岗双责”、征兵、体能测试等)由组织部牵头相关职能部门根据当年度学校重点工作确定并开展考核。</w:t>
      </w:r>
    </w:p>
    <w:p w14:paraId="21ABC81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(五)扣分项。扣分项由纪委、党办、院办、组织部、督导室根据各二级学院的实际情况进行扣分。扣分项不设上限， 同一事项就高扣分一次。</w:t>
      </w:r>
    </w:p>
    <w:p w14:paraId="2815909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二级学院及所辖范围的集体或个人如发生下列情况，按以下规定进行扣分：</w:t>
      </w:r>
    </w:p>
    <w:p w14:paraId="1B607D3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1.被学院通报批评，扣0.5分/起；被市(厅)通报批评，扣1分/起；被省(部)通报批评，扣5分/起；被国家通报批评，扣10分/起。</w:t>
      </w:r>
    </w:p>
    <w:p w14:paraId="4B4BE07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2.出现政治安全、意识形态安全和校园安全稳定问题，导致学校声誉、形象受损的，扣 0.5 分/起；较大事故,扣1分/起;重大事故,扣5分/起。</w:t>
      </w:r>
    </w:p>
    <w:p w14:paraId="2AE45D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3.发生行政责任事故和重大教学事故，扣 1 分/次；情况较严重，导致学校声誉、形象受损的，扣5分/次。</w:t>
      </w:r>
    </w:p>
    <w:p w14:paraId="4BCD5C0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4.发生师德失范行为并造成较大不良影响的，扣 1分/起；影响特别恶劣的，扣5分/起。</w:t>
      </w:r>
    </w:p>
    <w:p w14:paraId="7B98239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5.二级学院工作人员在履职过程中实施违法犯罪行为造成不良影响但未被追究刑事责任的，扣1分/起；被追究刑事责任的，扣5分/起。</w:t>
      </w:r>
    </w:p>
    <w:p w14:paraId="3E4E106C">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6.承接的省级及以上项目不能按期通过中期检查、验收的：高水平专业群扣5 分/项、 品牌专业扣 1 分/项、质量工程项目扣0.5分/项。</w:t>
      </w:r>
    </w:p>
    <w:p w14:paraId="1C6B115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各考核指标及时根据上级有关要求和学校发展实际动态调整， 以当年度考核通知为准。</w:t>
      </w:r>
    </w:p>
    <w:p w14:paraId="6F82B88D">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第七条</w:t>
      </w:r>
      <w:r>
        <w:rPr>
          <w:rFonts w:cs="宋体" w:asciiTheme="minorEastAsia" w:hAnsiTheme="minorEastAsia"/>
          <w:color w:val="000000"/>
          <w:sz w:val="24"/>
        </w:rPr>
        <w:t xml:space="preserve"> 成绩计算</w:t>
      </w:r>
    </w:p>
    <w:p w14:paraId="4CBE02E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二级学院年度考核成绩=党建工作得分×30%+创强工作得分×30%+双高工作得分×30%+部门工作综合评价得分×10%-扣分。</w:t>
      </w:r>
    </w:p>
    <w:p w14:paraId="6F8EF7ED">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jc w:val="center"/>
        <w:textAlignment w:val="auto"/>
        <w:outlineLvl w:val="1"/>
        <w:rPr>
          <w:rFonts w:asciiTheme="minorEastAsia" w:hAnsiTheme="minorEastAsia"/>
          <w:b/>
          <w:sz w:val="24"/>
          <w:szCs w:val="24"/>
        </w:rPr>
      </w:pPr>
      <w:bookmarkStart w:id="9" w:name="_Toc2930"/>
      <w:bookmarkStart w:id="10" w:name="_Toc10451"/>
      <w:r>
        <w:rPr>
          <w:rFonts w:cs="宋体" w:asciiTheme="minorEastAsia" w:hAnsiTheme="minorEastAsia"/>
          <w:b/>
          <w:color w:val="000000"/>
          <w:sz w:val="24"/>
          <w:szCs w:val="24"/>
        </w:rPr>
        <w:t>第四章 考核程序</w:t>
      </w:r>
      <w:bookmarkEnd w:id="9"/>
      <w:bookmarkEnd w:id="10"/>
    </w:p>
    <w:p w14:paraId="3528110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第八条</w:t>
      </w:r>
      <w:r>
        <w:rPr>
          <w:rFonts w:cs="宋体" w:asciiTheme="minorEastAsia" w:hAnsiTheme="minorEastAsia"/>
          <w:color w:val="000000"/>
          <w:sz w:val="24"/>
        </w:rPr>
        <w:t xml:space="preserve"> 二级学院年度考核以自然年为考核期间，按以下程序开展：</w:t>
      </w:r>
    </w:p>
    <w:p w14:paraId="213B2E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(一)撰写年度工作总结，提交考核业绩材料。各二级学院撰写年度工作总结；根据各专项考核牵头部门要求，提交相应的党建工作、  “创新强校”工作、  “双高”建设工作、人才培养其他重点工作业绩材料到各专项考核牵头部门。</w:t>
      </w:r>
    </w:p>
    <w:p w14:paraId="0BFB70C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(二)评价主体考核。各专项考核牵头部门牵头开展专项工作考核，并分别将各专项工作考核结果按要求进行公示。组织部牵头开展部门工作综合评价、汇总扣分。</w:t>
      </w:r>
    </w:p>
    <w:p w14:paraId="6E0F4B6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(三)考核等次建议。组织部汇总各专项工作考核结果，综合部门工作综合评价情况及扣分情况，形成各二级学院考核结果等次建议。</w:t>
      </w:r>
    </w:p>
    <w:p w14:paraId="1C68A73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(四)院长办公会审议考核等次。</w:t>
      </w:r>
    </w:p>
    <w:p w14:paraId="4D2C9C6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(五)党委会研究确定考核等次。</w:t>
      </w:r>
    </w:p>
    <w:p w14:paraId="2D1CC01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(六)考核结果公示。二级学院考核结果在学院范围内进行公示，公示期为5个工作日。</w:t>
      </w:r>
    </w:p>
    <w:p w14:paraId="6E8023CC">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ind w:firstLine="482" w:firstLineChars="200"/>
        <w:jc w:val="center"/>
        <w:textAlignment w:val="auto"/>
        <w:outlineLvl w:val="1"/>
        <w:rPr>
          <w:rFonts w:asciiTheme="minorEastAsia" w:hAnsiTheme="minorEastAsia"/>
          <w:b/>
          <w:sz w:val="24"/>
          <w:szCs w:val="24"/>
        </w:rPr>
      </w:pPr>
      <w:bookmarkStart w:id="11" w:name="_Toc24850"/>
      <w:bookmarkStart w:id="12" w:name="_Toc21959"/>
      <w:r>
        <w:rPr>
          <w:rFonts w:cs="宋体" w:asciiTheme="minorEastAsia" w:hAnsiTheme="minorEastAsia"/>
          <w:b/>
          <w:color w:val="000000"/>
          <w:sz w:val="24"/>
          <w:szCs w:val="24"/>
        </w:rPr>
        <w:t>第五章 考核结果的确定</w:t>
      </w:r>
      <w:bookmarkEnd w:id="11"/>
      <w:bookmarkEnd w:id="12"/>
    </w:p>
    <w:p w14:paraId="6B0D295A">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第九条</w:t>
      </w:r>
      <w:r>
        <w:rPr>
          <w:rFonts w:cs="宋体" w:asciiTheme="minorEastAsia" w:hAnsiTheme="minorEastAsia"/>
          <w:color w:val="000000"/>
          <w:sz w:val="24"/>
        </w:rPr>
        <w:t xml:space="preserve"> 二级学院年度考核结果分为“优秀”、“良好”、“合格”、“不合格”四个等次。“优秀”等次比例不超过参加考核的二级学院总数的 30%，“优秀”“良好”等次合计比例不超过参加考核的二级学院总数的 70%,其他等次不限。</w:t>
      </w:r>
    </w:p>
    <w:p w14:paraId="30BB23CC">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第十条</w:t>
      </w:r>
      <w:r>
        <w:rPr>
          <w:rFonts w:cs="宋体" w:asciiTheme="minorEastAsia" w:hAnsiTheme="minorEastAsia"/>
          <w:color w:val="000000"/>
          <w:sz w:val="24"/>
        </w:rPr>
        <w:t xml:space="preserve"> 二级学院或二级学院教职工当年有下列情形之一者，该二级学院当年度考核结果直接定为“不合格”等次：</w:t>
      </w:r>
    </w:p>
    <w:p w14:paraId="4C86AEC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(一)出现廉政纪律违规事项、严重责任事故等突出问题，导致学校被追究相关党纪政纪责任、行政责任、法律责任，或造成学院严重损失的。</w:t>
      </w:r>
    </w:p>
    <w:p w14:paraId="25FD3BB0">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(二)出现重大教学事故、舆情事件或其他严重情形，导致学校声誉、形象受损。</w:t>
      </w:r>
    </w:p>
    <w:p w14:paraId="7247A41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(三)无正当理由不参加年度考核的。</w:t>
      </w:r>
    </w:p>
    <w:p w14:paraId="09DB8948">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ind w:firstLine="482" w:firstLineChars="200"/>
        <w:jc w:val="center"/>
        <w:textAlignment w:val="auto"/>
        <w:outlineLvl w:val="1"/>
        <w:rPr>
          <w:rFonts w:asciiTheme="minorEastAsia" w:hAnsiTheme="minorEastAsia"/>
          <w:b/>
          <w:sz w:val="24"/>
          <w:szCs w:val="24"/>
        </w:rPr>
      </w:pPr>
      <w:bookmarkStart w:id="13" w:name="_Toc7741"/>
      <w:bookmarkStart w:id="14" w:name="_Toc4037"/>
      <w:r>
        <w:rPr>
          <w:rFonts w:cs="宋体" w:asciiTheme="minorEastAsia" w:hAnsiTheme="minorEastAsia"/>
          <w:b/>
          <w:color w:val="000000"/>
          <w:sz w:val="24"/>
          <w:szCs w:val="24"/>
        </w:rPr>
        <w:t>第六章 考核结果的运用</w:t>
      </w:r>
      <w:bookmarkEnd w:id="13"/>
      <w:bookmarkEnd w:id="14"/>
    </w:p>
    <w:p w14:paraId="672D94D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 xml:space="preserve">第十一条 </w:t>
      </w:r>
      <w:r>
        <w:rPr>
          <w:rFonts w:cs="宋体" w:asciiTheme="minorEastAsia" w:hAnsiTheme="minorEastAsia"/>
          <w:color w:val="000000"/>
          <w:sz w:val="24"/>
        </w:rPr>
        <w:t xml:space="preserve"> 坚持考用结合，二级学院年度考核结果将作为二级学院班子年度考核、绩效奖金年度考核奖及办学经费分配的重要依据。</w:t>
      </w:r>
    </w:p>
    <w:p w14:paraId="48BC6CD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一)年度考核结果等次评为“优秀”的二级学院，其部门正职领导(或临时负责人)年度考核结果一般可评定为“良好”及以上等次。年度考核结果等次为“不合格”的二级学院，其部门正职领导(或临时负责人)年度考核结果一般不得确定为“合格”及以上等次。</w:t>
      </w:r>
    </w:p>
    <w:p w14:paraId="04A314C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(二)年度考核结果将作为绩效奖金年度考核奖发放的重要依据，各二级学院绩效奖金年度考核奖具体核拨方式如下：</w:t>
      </w:r>
    </w:p>
    <w:p w14:paraId="7851C2E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二级学院年度考核分配系数总和=优秀等次二级学院在编人数×1.10+良好等次二级学院在编人数×1.05+合格等次二级学院在编人数×1.00</w:t>
      </w:r>
    </w:p>
    <w:p w14:paraId="79A0EF6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某二级学院绩效奖金年度考核奖=二级学院绩效奖金年度考核奖总和÷二级学院年度考核分配系数总和×某二级学院在编人数×考核等次分配系数。</w:t>
      </w:r>
    </w:p>
    <w:p w14:paraId="35B51C0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考核等次分配系数为：</w:t>
      </w:r>
    </w:p>
    <w:tbl>
      <w:tblPr>
        <w:tblStyle w:val="5"/>
        <w:tblpPr w:leftFromText="180" w:rightFromText="180" w:vertAnchor="text" w:horzAnchor="page" w:tblpX="2739" w:tblpY="62"/>
        <w:tblOverlap w:val="never"/>
        <w:tblW w:w="652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80"/>
        <w:gridCol w:w="1640"/>
      </w:tblGrid>
      <w:tr w14:paraId="2FA67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2" w:hRule="atLeast"/>
        </w:trPr>
        <w:tc>
          <w:tcPr>
            <w:tcW w:w="4880" w:type="dxa"/>
            <w:vAlign w:val="center"/>
          </w:tcPr>
          <w:p w14:paraId="43FB74A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部门考核等次</w:t>
            </w:r>
          </w:p>
        </w:tc>
        <w:tc>
          <w:tcPr>
            <w:tcW w:w="1640" w:type="dxa"/>
            <w:vAlign w:val="center"/>
          </w:tcPr>
          <w:p w14:paraId="1ACC00E2">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分配系数</w:t>
            </w:r>
          </w:p>
        </w:tc>
      </w:tr>
      <w:tr w14:paraId="4D55C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4880" w:type="dxa"/>
            <w:vAlign w:val="center"/>
          </w:tcPr>
          <w:p w14:paraId="7FCB6326">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优秀</w:t>
            </w:r>
          </w:p>
        </w:tc>
        <w:tc>
          <w:tcPr>
            <w:tcW w:w="1640" w:type="dxa"/>
            <w:vAlign w:val="center"/>
          </w:tcPr>
          <w:p w14:paraId="2B30954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1.10</w:t>
            </w:r>
          </w:p>
        </w:tc>
      </w:tr>
      <w:tr w14:paraId="7CFB3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4880" w:type="dxa"/>
            <w:vAlign w:val="center"/>
          </w:tcPr>
          <w:p w14:paraId="2558EAB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良好</w:t>
            </w:r>
          </w:p>
        </w:tc>
        <w:tc>
          <w:tcPr>
            <w:tcW w:w="1640" w:type="dxa"/>
            <w:vAlign w:val="center"/>
          </w:tcPr>
          <w:p w14:paraId="0EC960F1">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1.05</w:t>
            </w:r>
          </w:p>
        </w:tc>
      </w:tr>
      <w:tr w14:paraId="49941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4880" w:type="dxa"/>
            <w:vAlign w:val="center"/>
          </w:tcPr>
          <w:p w14:paraId="1B58F0F7">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合格</w:t>
            </w:r>
          </w:p>
        </w:tc>
        <w:tc>
          <w:tcPr>
            <w:tcW w:w="1640" w:type="dxa"/>
            <w:vAlign w:val="center"/>
          </w:tcPr>
          <w:p w14:paraId="343C6969">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1.00</w:t>
            </w:r>
          </w:p>
        </w:tc>
      </w:tr>
      <w:tr w14:paraId="66E479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880" w:type="dxa"/>
            <w:vAlign w:val="center"/>
          </w:tcPr>
          <w:p w14:paraId="7051D965">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不合格</w:t>
            </w:r>
          </w:p>
        </w:tc>
        <w:tc>
          <w:tcPr>
            <w:tcW w:w="1640" w:type="dxa"/>
            <w:vAlign w:val="center"/>
          </w:tcPr>
          <w:p w14:paraId="3DFF7DE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jc w:val="center"/>
              <w:textAlignment w:val="auto"/>
              <w:outlineLvl w:val="1"/>
              <w:rPr>
                <w:rFonts w:asciiTheme="minorEastAsia" w:hAnsiTheme="minorEastAsia"/>
                <w:sz w:val="24"/>
              </w:rPr>
            </w:pPr>
            <w:r>
              <w:rPr>
                <w:rFonts w:cs="宋体" w:asciiTheme="minorEastAsia" w:hAnsiTheme="minorEastAsia"/>
                <w:color w:val="000000"/>
                <w:sz w:val="24"/>
              </w:rPr>
              <w:t>0</w:t>
            </w:r>
          </w:p>
        </w:tc>
      </w:tr>
    </w:tbl>
    <w:p w14:paraId="78C677E6">
      <w:pPr>
        <w:keepNext w:val="0"/>
        <w:keepLines w:val="0"/>
        <w:pageBreakBefore w:val="0"/>
        <w:widowControl w:val="0"/>
        <w:kinsoku/>
        <w:wordWrap/>
        <w:overflowPunct/>
        <w:topLinePunct w:val="0"/>
        <w:bidi w:val="0"/>
        <w:adjustRightInd/>
        <w:snapToGrid/>
        <w:spacing w:line="440" w:lineRule="exact"/>
        <w:ind w:firstLine="480" w:firstLineChars="200"/>
        <w:textAlignment w:val="auto"/>
        <w:outlineLvl w:val="1"/>
        <w:rPr>
          <w:rFonts w:asciiTheme="minorEastAsia" w:hAnsiTheme="minorEastAsia"/>
          <w:sz w:val="24"/>
        </w:rPr>
      </w:pPr>
    </w:p>
    <w:p w14:paraId="3F15D4AF">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07F77CCB">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3E78591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33D2900A">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301ACCAE">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6DDE60C3">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5C09157D">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各二级学院成立本部门绩效奖金年度考核奖分配工作小组，由该部门领导班子成员和教师代表组成，结合本部门的具体情况，制定本部门的分配方案，并将方案在本部门内部进行公示、公布后，报送分配方案至人事处备案，并提交教职工个人分配系数至人事处。</w:t>
      </w:r>
    </w:p>
    <w:p w14:paraId="186C7328">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(三)年度考核结果将作为二级学院办学经费分配的重要依据，由有关职能部门制定具体分配规定。</w:t>
      </w:r>
    </w:p>
    <w:p w14:paraId="2E48F5AF">
      <w:pPr>
        <w:keepNext w:val="0"/>
        <w:keepLines w:val="0"/>
        <w:pageBreakBefore w:val="0"/>
        <w:widowControl w:val="0"/>
        <w:kinsoku/>
        <w:wordWrap/>
        <w:overflowPunct/>
        <w:topLinePunct w:val="0"/>
        <w:autoSpaceDE w:val="0"/>
        <w:autoSpaceDN w:val="0"/>
        <w:bidi w:val="0"/>
        <w:adjustRightInd/>
        <w:snapToGrid/>
        <w:spacing w:before="120" w:beforeLines="50" w:after="120" w:afterLines="50" w:line="440" w:lineRule="exact"/>
        <w:jc w:val="center"/>
        <w:textAlignment w:val="auto"/>
        <w:outlineLvl w:val="1"/>
        <w:rPr>
          <w:rFonts w:asciiTheme="minorEastAsia" w:hAnsiTheme="minorEastAsia"/>
          <w:b/>
          <w:sz w:val="24"/>
          <w:szCs w:val="24"/>
        </w:rPr>
      </w:pPr>
      <w:bookmarkStart w:id="15" w:name="_Toc15913"/>
      <w:bookmarkStart w:id="16" w:name="_Toc25677"/>
      <w:r>
        <w:rPr>
          <w:rFonts w:cs="宋体" w:asciiTheme="minorEastAsia" w:hAnsiTheme="minorEastAsia"/>
          <w:b/>
          <w:color w:val="000000"/>
          <w:sz w:val="24"/>
          <w:szCs w:val="24"/>
        </w:rPr>
        <w:t>第七章 附则</w:t>
      </w:r>
      <w:bookmarkEnd w:id="15"/>
      <w:bookmarkEnd w:id="16"/>
    </w:p>
    <w:p w14:paraId="648FC6AE">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第十二条</w:t>
      </w:r>
      <w:r>
        <w:rPr>
          <w:rFonts w:cs="宋体" w:asciiTheme="minorEastAsia" w:hAnsiTheme="minorEastAsia"/>
          <w:color w:val="000000"/>
          <w:sz w:val="24"/>
        </w:rPr>
        <w:t xml:space="preserve"> 对考核结果有异议的二级学院、学院职工，可在接到考核结果书面通知之日起五个工作日内，由二级学院、职工本人向党委组织部(人事处)提交书面复核申请。党委组织部(人事处)应当在30日内组织复核，并将复核结果送达复核申请者。</w:t>
      </w:r>
    </w:p>
    <w:p w14:paraId="3800B87F">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第十三条</w:t>
      </w:r>
      <w:r>
        <w:rPr>
          <w:rFonts w:cs="宋体" w:asciiTheme="minorEastAsia" w:hAnsiTheme="minorEastAsia"/>
          <w:color w:val="000000"/>
          <w:sz w:val="24"/>
        </w:rPr>
        <w:t xml:space="preserve"> 复核结果为最终结论。经核查后，考核结果如有变动的，按照复核结果做好考核结果运用。</w:t>
      </w:r>
    </w:p>
    <w:p w14:paraId="7E33B6B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第十四条</w:t>
      </w:r>
      <w:r>
        <w:rPr>
          <w:rFonts w:cs="宋体" w:asciiTheme="minorEastAsia" w:hAnsiTheme="minorEastAsia"/>
          <w:color w:val="000000"/>
          <w:sz w:val="24"/>
        </w:rPr>
        <w:t xml:space="preserve"> 本办法未尽事宜按上级文件和学校有关规定执行。本办法所依据的国家法律、法规和相关政策发生变化时，按新的规定执行。</w:t>
      </w:r>
    </w:p>
    <w:p w14:paraId="5DB0A527">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第十五条</w:t>
      </w:r>
      <w:r>
        <w:rPr>
          <w:rFonts w:cs="宋体" w:asciiTheme="minorEastAsia" w:hAnsiTheme="minorEastAsia"/>
          <w:color w:val="000000"/>
          <w:sz w:val="24"/>
        </w:rPr>
        <w:t xml:space="preserve"> 本办法由党委组织部(人事处)负责解释。</w:t>
      </w:r>
    </w:p>
    <w:p w14:paraId="771BBF1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auto"/>
        <w:outlineLvl w:val="1"/>
        <w:rPr>
          <w:rFonts w:asciiTheme="minorEastAsia" w:hAnsiTheme="minorEastAsia"/>
          <w:sz w:val="24"/>
        </w:rPr>
      </w:pPr>
      <w:r>
        <w:rPr>
          <w:rFonts w:cs="宋体" w:asciiTheme="minorEastAsia" w:hAnsiTheme="minorEastAsia"/>
          <w:b/>
          <w:color w:val="000000"/>
          <w:sz w:val="24"/>
        </w:rPr>
        <w:t>第十六条</w:t>
      </w:r>
      <w:r>
        <w:rPr>
          <w:rFonts w:cs="宋体" w:asciiTheme="minorEastAsia" w:hAnsiTheme="minorEastAsia"/>
          <w:color w:val="000000"/>
          <w:sz w:val="24"/>
        </w:rPr>
        <w:t xml:space="preserve"> 本办法自2023年6月25 日起实施。</w:t>
      </w:r>
    </w:p>
    <w:p w14:paraId="0075EE4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cs="宋体" w:asciiTheme="minorEastAsia" w:hAnsiTheme="minorEastAsia"/>
          <w:color w:val="000000"/>
          <w:sz w:val="24"/>
        </w:rPr>
      </w:pPr>
    </w:p>
    <w:p w14:paraId="20E7CC74">
      <w:pPr>
        <w:keepNext w:val="0"/>
        <w:keepLines w:val="0"/>
        <w:pageBreakBefore w:val="0"/>
        <w:widowControl w:val="0"/>
        <w:kinsoku/>
        <w:wordWrap/>
        <w:overflowPunct/>
        <w:topLinePunct w:val="0"/>
        <w:autoSpaceDE w:val="0"/>
        <w:autoSpaceDN w:val="0"/>
        <w:bidi w:val="0"/>
        <w:adjustRightInd/>
        <w:snapToGrid/>
        <w:spacing w:line="440" w:lineRule="exact"/>
        <w:ind w:firstLine="480" w:firstLineChars="200"/>
        <w:textAlignment w:val="auto"/>
        <w:outlineLvl w:val="1"/>
        <w:rPr>
          <w:rFonts w:asciiTheme="minorEastAsia" w:hAnsiTheme="minorEastAsia"/>
          <w:sz w:val="24"/>
        </w:rPr>
      </w:pPr>
      <w:r>
        <w:rPr>
          <w:rFonts w:cs="宋体" w:asciiTheme="minorEastAsia" w:hAnsiTheme="minorEastAsia"/>
          <w:color w:val="000000"/>
          <w:sz w:val="24"/>
        </w:rPr>
        <w:t>附件：1.汕头职业技术学院党建工作指标体系及评分(党总支)</w:t>
      </w:r>
    </w:p>
    <w:p w14:paraId="71B88785">
      <w:pPr>
        <w:keepNext w:val="0"/>
        <w:keepLines w:val="0"/>
        <w:pageBreakBefore w:val="0"/>
        <w:widowControl w:val="0"/>
        <w:kinsoku/>
        <w:wordWrap/>
        <w:overflowPunct/>
        <w:topLinePunct w:val="0"/>
        <w:autoSpaceDE w:val="0"/>
        <w:autoSpaceDN w:val="0"/>
        <w:bidi w:val="0"/>
        <w:adjustRightInd/>
        <w:snapToGrid/>
        <w:spacing w:line="440" w:lineRule="exact"/>
        <w:ind w:firstLine="1200" w:firstLineChars="500"/>
        <w:textAlignment w:val="auto"/>
        <w:outlineLvl w:val="1"/>
        <w:rPr>
          <w:rFonts w:asciiTheme="minorEastAsia" w:hAnsiTheme="minorEastAsia"/>
          <w:sz w:val="24"/>
        </w:rPr>
      </w:pPr>
      <w:r>
        <w:rPr>
          <w:rFonts w:cs="宋体" w:asciiTheme="minorEastAsia" w:hAnsiTheme="minorEastAsia"/>
          <w:color w:val="000000"/>
          <w:sz w:val="24"/>
        </w:rPr>
        <w:t>2.汕头职业技术学院二级学院创新强校工作考核指标体系及评分表</w:t>
      </w:r>
    </w:p>
    <w:p w14:paraId="6CB02AF9">
      <w:pPr>
        <w:keepNext w:val="0"/>
        <w:keepLines w:val="0"/>
        <w:pageBreakBefore w:val="0"/>
        <w:widowControl w:val="0"/>
        <w:kinsoku/>
        <w:wordWrap/>
        <w:overflowPunct/>
        <w:topLinePunct w:val="0"/>
        <w:autoSpaceDE w:val="0"/>
        <w:autoSpaceDN w:val="0"/>
        <w:bidi w:val="0"/>
        <w:adjustRightInd/>
        <w:snapToGrid/>
        <w:spacing w:line="440" w:lineRule="exact"/>
        <w:ind w:firstLine="1200" w:firstLineChars="500"/>
        <w:textAlignment w:val="auto"/>
        <w:outlineLvl w:val="1"/>
        <w:rPr>
          <w:rFonts w:asciiTheme="minorEastAsia" w:hAnsiTheme="minorEastAsia"/>
          <w:sz w:val="24"/>
        </w:rPr>
      </w:pPr>
      <w:bookmarkStart w:id="17" w:name="_Toc12886"/>
      <w:bookmarkStart w:id="18" w:name="_Toc274"/>
      <w:r>
        <w:rPr>
          <w:rFonts w:cs="宋体" w:asciiTheme="minorEastAsia" w:hAnsiTheme="minorEastAsia"/>
          <w:color w:val="000000"/>
          <w:sz w:val="24"/>
        </w:rPr>
        <w:t>3-1 二级学院双高考核各一级项目权重表</w:t>
      </w:r>
      <w:bookmarkEnd w:id="17"/>
      <w:bookmarkEnd w:id="18"/>
    </w:p>
    <w:p w14:paraId="5C1AF2A9">
      <w:pPr>
        <w:keepNext w:val="0"/>
        <w:keepLines w:val="0"/>
        <w:pageBreakBefore w:val="0"/>
        <w:widowControl w:val="0"/>
        <w:kinsoku/>
        <w:wordWrap/>
        <w:overflowPunct/>
        <w:topLinePunct w:val="0"/>
        <w:autoSpaceDE w:val="0"/>
        <w:autoSpaceDN w:val="0"/>
        <w:bidi w:val="0"/>
        <w:adjustRightInd/>
        <w:snapToGrid/>
        <w:spacing w:line="440" w:lineRule="exact"/>
        <w:ind w:firstLine="1200" w:firstLineChars="500"/>
        <w:textAlignment w:val="auto"/>
        <w:outlineLvl w:val="1"/>
        <w:rPr>
          <w:rFonts w:hint="eastAsia" w:ascii="宋体" w:hAnsi="宋体" w:eastAsia="宋体"/>
          <w:snapToGrid w:val="0"/>
          <w:color w:val="auto"/>
          <w:kern w:val="0"/>
          <w:sz w:val="28"/>
          <w:szCs w:val="28"/>
        </w:rPr>
      </w:pPr>
      <w:r>
        <w:rPr>
          <w:rFonts w:cs="宋体" w:asciiTheme="minorEastAsia" w:hAnsiTheme="minorEastAsia"/>
          <w:color w:val="000000"/>
          <w:sz w:val="24"/>
        </w:rPr>
        <w:t>3-2 二级学院双高建设工作考核指标表</w:t>
      </w:r>
    </w:p>
    <w:p w14:paraId="6820E460">
      <w:pPr>
        <w:pageBreakBefore w:val="0"/>
        <w:widowControl w:val="0"/>
        <w:kinsoku/>
        <w:wordWrap/>
        <w:overflowPunct/>
        <w:topLinePunct w:val="0"/>
        <w:bidi w:val="0"/>
        <w:adjustRightInd/>
        <w:snapToGrid/>
        <w:textAlignment w:val="auto"/>
        <w:outlineLvl w:val="1"/>
        <w:rPr>
          <w:rFonts w:hint="eastAsia" w:ascii="宋体" w:hAnsi="宋体" w:eastAsia="宋体"/>
          <w:snapToGrid w:val="0"/>
          <w:color w:val="auto"/>
          <w:kern w:val="0"/>
          <w:sz w:val="28"/>
          <w:szCs w:val="28"/>
        </w:rPr>
      </w:pPr>
    </w:p>
    <w:p w14:paraId="66E842BE">
      <w:pPr>
        <w:pStyle w:val="2"/>
        <w:keepNext/>
        <w:keepLines/>
        <w:pageBreakBefore w:val="0"/>
        <w:widowControl w:val="0"/>
        <w:kinsoku/>
        <w:wordWrap/>
        <w:overflowPunct/>
        <w:topLinePunct w:val="0"/>
        <w:autoSpaceDE/>
        <w:autoSpaceDN/>
        <w:bidi w:val="0"/>
        <w:adjustRightInd/>
        <w:snapToGrid/>
        <w:spacing w:before="157" w:beforeLines="50" w:after="0" w:afterLines="0" w:line="440" w:lineRule="exact"/>
        <w:jc w:val="center"/>
        <w:textAlignment w:val="auto"/>
        <w:outlineLvl w:val="1"/>
        <w:rPr>
          <w:rFonts w:hint="eastAsia" w:ascii="宋体" w:hAnsi="宋体" w:eastAsia="宋体"/>
          <w:snapToGrid w:val="0"/>
          <w:color w:val="auto"/>
          <w:kern w:val="0"/>
          <w:sz w:val="28"/>
          <w:szCs w:val="28"/>
        </w:rPr>
      </w:pPr>
    </w:p>
    <w:p w14:paraId="61C5BAEE">
      <w:pPr>
        <w:pStyle w:val="2"/>
        <w:keepNext/>
        <w:keepLines/>
        <w:pageBreakBefore w:val="0"/>
        <w:widowControl w:val="0"/>
        <w:kinsoku/>
        <w:wordWrap/>
        <w:overflowPunct/>
        <w:topLinePunct w:val="0"/>
        <w:autoSpaceDE/>
        <w:autoSpaceDN/>
        <w:bidi w:val="0"/>
        <w:adjustRightInd/>
        <w:snapToGrid/>
        <w:spacing w:before="157" w:beforeLines="50" w:after="0" w:afterLines="0" w:line="440" w:lineRule="exact"/>
        <w:jc w:val="center"/>
        <w:textAlignment w:val="auto"/>
        <w:outlineLvl w:val="1"/>
        <w:rPr>
          <w:rFonts w:hint="eastAsia" w:ascii="宋体" w:hAnsi="宋体" w:eastAsia="宋体"/>
          <w:snapToGrid w:val="0"/>
          <w:color w:val="auto"/>
          <w:kern w:val="0"/>
          <w:sz w:val="28"/>
          <w:szCs w:val="28"/>
        </w:rPr>
      </w:pPr>
    </w:p>
    <w:p w14:paraId="76932E91">
      <w:pPr>
        <w:pStyle w:val="2"/>
        <w:keepNext/>
        <w:keepLines/>
        <w:pageBreakBefore w:val="0"/>
        <w:widowControl w:val="0"/>
        <w:kinsoku/>
        <w:wordWrap/>
        <w:overflowPunct/>
        <w:topLinePunct w:val="0"/>
        <w:autoSpaceDE/>
        <w:autoSpaceDN/>
        <w:bidi w:val="0"/>
        <w:adjustRightInd/>
        <w:snapToGrid/>
        <w:spacing w:before="157" w:beforeLines="50" w:after="0" w:afterLines="0" w:line="440" w:lineRule="exact"/>
        <w:jc w:val="center"/>
        <w:textAlignment w:val="auto"/>
        <w:outlineLvl w:val="1"/>
        <w:rPr>
          <w:rFonts w:hint="eastAsia" w:ascii="宋体" w:hAnsi="宋体" w:eastAsia="宋体"/>
          <w:snapToGrid w:val="0"/>
          <w:color w:val="auto"/>
          <w:kern w:val="0"/>
          <w:sz w:val="28"/>
          <w:szCs w:val="28"/>
        </w:rPr>
      </w:pPr>
    </w:p>
    <w:p w14:paraId="6ABE8A0D">
      <w:pPr>
        <w:pageBreakBefore w:val="0"/>
        <w:widowControl w:val="0"/>
        <w:kinsoku/>
        <w:wordWrap/>
        <w:overflowPunct/>
        <w:topLinePunct w:val="0"/>
        <w:bidi w:val="0"/>
        <w:adjustRightInd/>
        <w:snapToGrid/>
        <w:textAlignment w:val="auto"/>
        <w:outlineLvl w:val="1"/>
        <w:rPr>
          <w:rFonts w:hint="eastAsia"/>
        </w:rPr>
      </w:pPr>
    </w:p>
    <w:p w14:paraId="334941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NTE3YTE2OTllOTExYzMwNWVhMTVmZGIyNGFlM2YifQ=="/>
  </w:docVars>
  <w:rsids>
    <w:rsidRoot w:val="465A3EAF"/>
    <w:rsid w:val="465A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after="260" w:afterLines="0" w:line="413" w:lineRule="auto"/>
      <w:outlineLvl w:val="1"/>
    </w:pPr>
    <w:rPr>
      <w:rFonts w:ascii="Arial" w:hAnsi="Arial" w:eastAsia="黑体"/>
      <w:b/>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widowControl/>
      <w:tabs>
        <w:tab w:val="center" w:pos="4153"/>
        <w:tab w:val="right" w:pos="8306"/>
      </w:tabs>
      <w:snapToGrid w:val="0"/>
    </w:pPr>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2024-08-09T10:53:00Z</dcterms:created>
  <dc:creator>WPS_1713152101</dc:creator>
  <cp:lastModifiedBy>WPS_1713152101</cp:lastModifiedBy>
  <dcterms:modified xsi:type="dcterms:W3CDTF">2024-08-09T10:53:25Z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A460A16EBD8D40B18F94A46776B8BF17_11</vt:lpwstr>
  </property>
</Properties>
</file>