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7169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bookmarkStart w:id="0" w:name="_Toc6422"/>
      <w:bookmarkStart w:id="1" w:name="_Toc14027"/>
      <w:bookmarkStart w:id="2" w:name="_Toc1306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汕头职业技术学院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网络舆情管理与处置办法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试行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  <w:bookmarkEnd w:id="0"/>
      <w:bookmarkEnd w:id="1"/>
      <w:bookmarkEnd w:id="2"/>
    </w:p>
    <w:p w14:paraId="2B253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汕职院党宣发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</w:p>
    <w:p w14:paraId="205E10D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3" w:name="_Toc19969"/>
      <w:bookmarkStart w:id="4" w:name="_Toc18713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第一章 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总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则</w:t>
      </w:r>
      <w:bookmarkEnd w:id="3"/>
      <w:bookmarkEnd w:id="4"/>
    </w:p>
    <w:p w14:paraId="2DB1079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第一条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为进一步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加强和改进学院网络意识形态工作，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提高学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网络舆情监测及应急处置能力，有效引导网络舆论，最大程度地预防、减少和消除网络舆情给学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造成的负面影响，为我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宣传思想工作和安全稳定工作营造良好的舆论氛围，依据中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央、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有关意识形态工作文件精神，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结合我院实际，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制定此办法。</w:t>
      </w:r>
    </w:p>
    <w:p w14:paraId="3A68173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第二条 </w:t>
      </w:r>
      <w:r>
        <w:rPr>
          <w:rStyle w:val="5"/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本办法中所指的网络舆情，主要指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学院师生员工和社会公众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通过各种网络媒体平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台传播的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  <w:t>发布和表达与学院密切相关、与公共事务密切相关、与公共事务密切相关、与社会热点难点焦点问题密切相关的各种意见、看法、观点、情绪的总和，特别是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可能或已经对学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</w:rPr>
        <w:t>声誉造成影响的报道、言论。网络舆情管理与处置，主要指针对上述舆论情况实施的监测、研判、预警、管控、引导、应对处置、跟踪反馈等具体措施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68DE8D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5" w:name="_Toc19590"/>
      <w:bookmarkStart w:id="6" w:name="_Toc32000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第二章 原则与要求</w:t>
      </w:r>
      <w:bookmarkEnd w:id="5"/>
      <w:bookmarkEnd w:id="6"/>
    </w:p>
    <w:p w14:paraId="6CAF54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第三条 </w:t>
      </w:r>
      <w:r>
        <w:rPr>
          <w:rStyle w:val="5"/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学院网络舆情应对处置工作纳入学院应急管理工作统筹安排，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网络舆情工作领导小组总体部署指导舆情管理及处置工作，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为网络舆情管理及处置总负责部门，舆情涉及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作为第一责任主体应明确职责，积极配合，主动应对，实现舆情事件的高效协调处置。</w:t>
      </w:r>
    </w:p>
    <w:p w14:paraId="7C3A473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第四条 </w:t>
      </w:r>
      <w:r>
        <w:rPr>
          <w:rStyle w:val="5"/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建立网络舆情监测机制，密切关注网络上涉及学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的舆情信息，及时发现有可能成为焦点、热点的问题，切实做到早发现、早研判、早报告、早处置。</w:t>
      </w:r>
    </w:p>
    <w:p w14:paraId="7E36DF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第五条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提高正确引导舆论的意识和工作水平，使舆情信息的宣传报道有利于学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工作大局，有利于舆情涉及事件的妥善处置，有利于学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的安全稳定。</w:t>
      </w:r>
    </w:p>
    <w:p w14:paraId="044A09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7" w:name="_Toc32723"/>
      <w:bookmarkStart w:id="8" w:name="_Toc23184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第三章 工作机构及职责分工</w:t>
      </w:r>
      <w:bookmarkEnd w:id="7"/>
      <w:bookmarkEnd w:id="8"/>
    </w:p>
    <w:p w14:paraId="689011E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第六条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成立网络舆情工作领导小组，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党委书记及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长任组长，分管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领导任副组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长，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处（室）、系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（部、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中心（馆）、校区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主要负责人为小组成员。</w:t>
      </w:r>
    </w:p>
    <w:p w14:paraId="1E44EEB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网络舆情工作领导小组主要职责为：指导和部署学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网络舆情管理及处置工作；研究建立网络舆情管理及处置工作机制；指导突发事件网络舆情的处置工作；对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重要时间节点、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重大网络舆情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进行研判、制定应对方案、督查、督办等。</w:t>
      </w:r>
    </w:p>
    <w:p w14:paraId="4FF9923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第七条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为网络舆情管理与处置日常工作牵头部门，负责网络舆情的总体监控、整理、报告、研判、处置以及网络舆论的引导；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开展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内各部门网络舆情管理员的日常管理及培训；对重点媒体平台及管理人员进行日常检查，定期向各部门通报相关情况；进行网络舆情信息的汇总归档；负责与新闻媒体沟通协调。</w:t>
      </w:r>
    </w:p>
    <w:p w14:paraId="4C7375F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第八条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处（室）、系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（部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中心（馆）、校区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负责对其所属的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学院官网二级子网站、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微信公众号、微博及自媒体进行监测、管理。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各部门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应成立网络舆情工作小组、配备网络舆情管理员，负责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本部门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网络舆情的监测、引导并及时上报舆情信息。</w:t>
      </w:r>
    </w:p>
    <w:p w14:paraId="4FE771E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第九条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党委办公室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学院办公室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负责协调、督办网络舆情管理及处置过程中涉及党务、行政事务的相关事宜。</w:t>
      </w:r>
    </w:p>
    <w:p w14:paraId="3B09870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党委组织部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人事处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、党委统战部、工会、负责网络舆情管理与处置工作中涉及干部、人事以及教职工矛盾纠纷的协调工作。</w:t>
      </w:r>
    </w:p>
    <w:p w14:paraId="20D2A20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第十一条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学生工作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、团委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各学系、校区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负责学生及社团网络舆情的收集和研判工作；对学生开展文明上网宣传引导工作。</w:t>
      </w:r>
    </w:p>
    <w:p w14:paraId="60250C6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第十二条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网络与信息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中心负责提供网络信息处置的技术支持；负责与网络运营商的沟通和联系工作；配合有关部门进行网络信息监控工作。</w:t>
      </w:r>
    </w:p>
    <w:p w14:paraId="516EFC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第十三条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武装部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保卫处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负责与公安机关沟通联系；协助其依法处罚和打击网上违法活动、鉴定与处罚网上泄露国家机密及其他违法行为等。</w:t>
      </w:r>
    </w:p>
    <w:p w14:paraId="4162AD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第十四条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总务处（基建办）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负责网络舆情管理与处置工作中涉及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学院基建工程、师生生活后勤保障等方面的协调工作。</w:t>
      </w:r>
    </w:p>
    <w:p w14:paraId="582567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9" w:name="_Toc16087"/>
      <w:bookmarkStart w:id="10" w:name="_Toc12142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第四章 处置程序与规范</w:t>
      </w:r>
      <w:bookmarkEnd w:id="9"/>
      <w:bookmarkEnd w:id="10"/>
    </w:p>
    <w:p w14:paraId="3E280F3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应安排人员对网络舆情进行实时监测，及时掌握相关信息，加强分析研判，各单位监测到舆情信息后应第一时间口头上报相关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领导及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，并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在要求时间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内提交书面汇报材料。</w:t>
      </w:r>
    </w:p>
    <w:p w14:paraId="4B82B0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条 </w:t>
      </w:r>
      <w:r>
        <w:rPr>
          <w:rStyle w:val="5"/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上级网信部门情况通报、学院各部门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收集到的各类舆情信息进行研判，属于重大网络舆情的（媒体广泛关注，对学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声誉造成严重影响或涉及重大敏感问题），由学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舆情工作领导小组或学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主要领导、分管领导决定处理意见；属于一般网络舆情的，由舆情涉及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指导下开展处置工作。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建立网络舆情管理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处置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台帐，将收集到的网络舆情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处置情况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及时报送相关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领导。</w:t>
      </w:r>
    </w:p>
    <w:p w14:paraId="145B6AA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0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按照网络舆情内容的不同，采用不同的方法分类应对处置。属询问、置疑、诉求类的，学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相关部门依法依规进行办理、提出答复意见，由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或相关部门统一回复；属对学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事件或社会热点、敏感问题恶意传播或炒作类的，依法告知事实真相或事件处置情况，对学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声誉造成重大负面影响的，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学院依法依规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处理；属捏造、歪曲或夸大事实，恶意攻击、诽谤，煽动闹事或涉嫌网上违法犯罪活动类的，学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依法依规报警处理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。 </w:t>
      </w:r>
    </w:p>
    <w:p w14:paraId="635D54F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 xml:space="preserve">条 </w:t>
      </w:r>
      <w:r>
        <w:rPr>
          <w:rStyle w:val="5"/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要落实专人对舆情处置完毕后的相关事态进行动态跟踪，及时反馈信息，根据网络舆情处置需要，由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和舆情涉及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开展舆论引导，防止不当或有害言论扩散发酵，避免引发次生网络舆情或网络舆情危机。</w:t>
      </w:r>
    </w:p>
    <w:p w14:paraId="11FD601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八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在网络舆情事件平息后，舆情涉及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应对网络舆情的发生及处置情况进行总结、梳理、评估，填写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网络舆情处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置登记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和《网络舆情处置情况报告》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，提交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存档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 w14:paraId="586AC2B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1" w:name="_Toc7183"/>
      <w:bookmarkStart w:id="12" w:name="_Toc1666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第五章 责任追究</w:t>
      </w:r>
      <w:bookmarkEnd w:id="11"/>
      <w:bookmarkEnd w:id="12"/>
    </w:p>
    <w:p w14:paraId="575E04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九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将网络舆情工作纳入各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年度工作考核指标体系。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每年对各院部、各部门网络意识形态工作进行一次专项督查。</w:t>
      </w:r>
    </w:p>
    <w:p w14:paraId="794CB1A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舆情处置过程中，因工作失职或严重错误对学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声誉造成重大影响的，将视情节对有关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pacing w:val="-15"/>
          <w:sz w:val="24"/>
          <w:szCs w:val="24"/>
        </w:rPr>
        <w:t>和个人予以追责处理。</w:t>
      </w:r>
    </w:p>
    <w:p w14:paraId="4F12B9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440" w:lineRule="exact"/>
        <w:ind w:left="0"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第二十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对于发布不实信息形成舆情，对学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或师生的声誉造成损害的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和个人，依法依规予以处理。</w:t>
      </w:r>
    </w:p>
    <w:p w14:paraId="3AA8AF8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440" w:lineRule="exact"/>
        <w:ind w:left="0" w:right="0" w:firstLine="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bookmarkStart w:id="13" w:name="_Toc7147"/>
      <w:bookmarkStart w:id="14" w:name="_Toc20424"/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第六章 附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则</w:t>
      </w:r>
      <w:bookmarkEnd w:id="13"/>
      <w:bookmarkEnd w:id="14"/>
    </w:p>
    <w:p w14:paraId="7604543A">
      <w:pPr>
        <w:ind w:firstLine="482" w:firstLineChars="2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第二十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本办法由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党委宣传部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负责解释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 w14:paraId="233818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firstLine="482" w:firstLineChars="200"/>
        <w:textAlignment w:val="auto"/>
        <w:outlineLvl w:val="1"/>
      </w:pP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第二十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color w:val="auto"/>
          <w:sz w:val="24"/>
          <w:szCs w:val="24"/>
        </w:rPr>
        <w:t>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本办法自发布之日起施行。</w:t>
      </w:r>
    </w:p>
    <w:p w14:paraId="377045BC"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bookmarkStart w:id="15" w:name="_GoBack"/>
      <w:bookmarkEnd w:id="1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E0NTBjYWNlNzRiYjk3MTVhZWQ5YWM5MmFkMTIifQ=="/>
  </w:docVars>
  <w:rsids>
    <w:rsidRoot w:val="4F991F4D"/>
    <w:rsid w:val="059350EA"/>
    <w:rsid w:val="065759A1"/>
    <w:rsid w:val="0DBE6860"/>
    <w:rsid w:val="108B5B1C"/>
    <w:rsid w:val="151747AA"/>
    <w:rsid w:val="182B3C73"/>
    <w:rsid w:val="18ED6552"/>
    <w:rsid w:val="1B0E3105"/>
    <w:rsid w:val="1C3E210F"/>
    <w:rsid w:val="1C644D7B"/>
    <w:rsid w:val="1D7F6FA7"/>
    <w:rsid w:val="1F161E18"/>
    <w:rsid w:val="23AC4A38"/>
    <w:rsid w:val="268C5260"/>
    <w:rsid w:val="26B13051"/>
    <w:rsid w:val="26F2065B"/>
    <w:rsid w:val="2A7D2769"/>
    <w:rsid w:val="2C152C6C"/>
    <w:rsid w:val="2D33620A"/>
    <w:rsid w:val="3AE50E6F"/>
    <w:rsid w:val="3B9A1750"/>
    <w:rsid w:val="3BFB4262"/>
    <w:rsid w:val="3EED7AFD"/>
    <w:rsid w:val="3F830D4C"/>
    <w:rsid w:val="40B71E8C"/>
    <w:rsid w:val="43074E43"/>
    <w:rsid w:val="436C4B00"/>
    <w:rsid w:val="44F36042"/>
    <w:rsid w:val="47872C20"/>
    <w:rsid w:val="4A7B3E20"/>
    <w:rsid w:val="4AAF148F"/>
    <w:rsid w:val="4B4970E4"/>
    <w:rsid w:val="4ECA17EB"/>
    <w:rsid w:val="4F991F4D"/>
    <w:rsid w:val="54577186"/>
    <w:rsid w:val="548041E3"/>
    <w:rsid w:val="56374720"/>
    <w:rsid w:val="593949BE"/>
    <w:rsid w:val="59C873FD"/>
    <w:rsid w:val="5BC8431A"/>
    <w:rsid w:val="5D1256C6"/>
    <w:rsid w:val="5D320D6D"/>
    <w:rsid w:val="5FA206E1"/>
    <w:rsid w:val="626E3595"/>
    <w:rsid w:val="64717640"/>
    <w:rsid w:val="66F74D9C"/>
    <w:rsid w:val="68482DFE"/>
    <w:rsid w:val="6D1F7A32"/>
    <w:rsid w:val="6DA83066"/>
    <w:rsid w:val="6EF65DBB"/>
    <w:rsid w:val="74947B1F"/>
    <w:rsid w:val="75077E40"/>
    <w:rsid w:val="7C5C225B"/>
    <w:rsid w:val="7C722B8E"/>
    <w:rsid w:val="7CB1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5">
    <w:name w:val="Strong"/>
    <w:basedOn w:val="4"/>
    <w:qFormat/>
    <w:uiPriority w:val="0"/>
    <w:rPr>
      <w:rFonts w:asciiTheme="minorHAnsi" w:hAnsiTheme="minorHAnsi" w:eastAsiaTheme="minorEastAsia" w:cstheme="minorBid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2024-09-14T02:24:00Z</dcterms:created>
  <dc:creator>YB001</dc:creator>
  <cp:lastModifiedBy>YB001</cp:lastModifiedBy>
  <dcterms:modified xsi:type="dcterms:W3CDTF">2024-09-14T02:27:25Z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0BD03879EE194C6F955530F10E988A42_11</vt:lpwstr>
  </property>
</Properties>
</file>