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rPr>
      </w:pPr>
      <w:r>
        <w:rPr>
          <w:rFonts w:hint="eastAsia" w:ascii="宋体" w:hAnsi="宋体"/>
          <w:b/>
          <w:sz w:val="32"/>
          <w:szCs w:val="32"/>
        </w:rPr>
        <w:t>汕头职业技术学院新津校区监控维护改造项目需求书</w:t>
      </w:r>
    </w:p>
    <w:p>
      <w:pPr>
        <w:jc w:val="center"/>
        <w:rPr>
          <w:rFonts w:hint="eastAsia" w:ascii="宋体" w:hAnsi="宋体"/>
          <w:b/>
          <w:sz w:val="32"/>
          <w:szCs w:val="32"/>
        </w:rPr>
      </w:pPr>
      <w:bookmarkStart w:id="0" w:name="_GoBack"/>
      <w:bookmarkEnd w:id="0"/>
    </w:p>
    <w:tbl>
      <w:tblPr>
        <w:tblStyle w:val="4"/>
        <w:tblW w:w="509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88"/>
        <w:gridCol w:w="1156"/>
        <w:gridCol w:w="4349"/>
        <w:gridCol w:w="646"/>
        <w:gridCol w:w="631"/>
        <w:gridCol w:w="823"/>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b/>
                <w:sz w:val="18"/>
                <w:szCs w:val="18"/>
              </w:rPr>
            </w:pPr>
            <w:r>
              <w:rPr>
                <w:rFonts w:asciiTheme="minorEastAsia" w:hAnsiTheme="minorEastAsia" w:eastAsiaTheme="minorEastAsia"/>
                <w:b/>
                <w:sz w:val="18"/>
                <w:szCs w:val="18"/>
              </w:rPr>
              <w:t>序</w:t>
            </w:r>
            <w:r>
              <w:rPr>
                <w:rFonts w:hint="eastAsia" w:asciiTheme="minorEastAsia" w:hAnsiTheme="minorEastAsia" w:eastAsiaTheme="minorEastAsia"/>
                <w:b/>
                <w:sz w:val="18"/>
                <w:szCs w:val="18"/>
              </w:rPr>
              <w:t>号</w:t>
            </w:r>
          </w:p>
        </w:tc>
        <w:tc>
          <w:tcPr>
            <w:tcW w:w="625"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b/>
                <w:sz w:val="18"/>
                <w:szCs w:val="18"/>
              </w:rPr>
            </w:pPr>
            <w:r>
              <w:rPr>
                <w:rFonts w:asciiTheme="minorEastAsia" w:hAnsiTheme="minorEastAsia" w:eastAsiaTheme="minorEastAsia"/>
                <w:b/>
                <w:sz w:val="18"/>
                <w:szCs w:val="18"/>
              </w:rPr>
              <w:t>项目名称</w:t>
            </w:r>
          </w:p>
        </w:tc>
        <w:tc>
          <w:tcPr>
            <w:tcW w:w="2351"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b/>
                <w:sz w:val="18"/>
                <w:szCs w:val="18"/>
              </w:rPr>
            </w:pPr>
            <w:r>
              <w:rPr>
                <w:rFonts w:asciiTheme="minorEastAsia" w:hAnsiTheme="minorEastAsia" w:eastAsiaTheme="minorEastAsia"/>
                <w:b/>
                <w:sz w:val="18"/>
                <w:szCs w:val="18"/>
              </w:rPr>
              <w:t>规格型号</w:t>
            </w:r>
          </w:p>
        </w:tc>
        <w:tc>
          <w:tcPr>
            <w:tcW w:w="34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b/>
                <w:sz w:val="18"/>
                <w:szCs w:val="18"/>
              </w:rPr>
            </w:pPr>
            <w:r>
              <w:rPr>
                <w:rFonts w:asciiTheme="minorEastAsia" w:hAnsiTheme="minorEastAsia" w:eastAsiaTheme="minorEastAsia"/>
                <w:b/>
                <w:sz w:val="18"/>
                <w:szCs w:val="18"/>
              </w:rPr>
              <w:t>单位</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b/>
                <w:sz w:val="18"/>
                <w:szCs w:val="18"/>
              </w:rPr>
            </w:pPr>
            <w:r>
              <w:rPr>
                <w:rFonts w:asciiTheme="minorEastAsia" w:hAnsiTheme="minorEastAsia" w:eastAsiaTheme="minorEastAsia"/>
                <w:b/>
                <w:sz w:val="18"/>
                <w:szCs w:val="18"/>
              </w:rPr>
              <w:t>数量</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b/>
                <w:sz w:val="18"/>
                <w:szCs w:val="18"/>
              </w:rPr>
            </w:pPr>
            <w:r>
              <w:rPr>
                <w:rFonts w:asciiTheme="minorEastAsia" w:hAnsiTheme="minorEastAsia" w:eastAsiaTheme="minorEastAsia"/>
                <w:b/>
                <w:sz w:val="18"/>
                <w:szCs w:val="18"/>
              </w:rPr>
              <w:t>单价</w:t>
            </w: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b/>
                <w:sz w:val="18"/>
                <w:szCs w:val="18"/>
              </w:rPr>
            </w:pPr>
            <w:r>
              <w:rPr>
                <w:rFonts w:asciiTheme="minorEastAsia" w:hAnsiTheme="minorEastAsia" w:eastAsiaTheme="minorEastAsia"/>
                <w:b/>
                <w:sz w:val="18"/>
                <w:szCs w:val="1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4038" w:type="pct"/>
            <w:gridSpan w:val="5"/>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ind w:firstLine="89" w:firstLineChars="49"/>
              <w:textAlignment w:val="auto"/>
              <w:rPr>
                <w:rFonts w:asciiTheme="minorEastAsia" w:hAnsiTheme="minorEastAsia" w:eastAsiaTheme="minorEastAsia"/>
                <w:b/>
                <w:sz w:val="18"/>
                <w:szCs w:val="18"/>
              </w:rPr>
            </w:pPr>
            <w:r>
              <w:rPr>
                <w:rFonts w:asciiTheme="minorEastAsia" w:hAnsiTheme="minorEastAsia" w:eastAsiaTheme="minorEastAsia"/>
                <w:b/>
                <w:sz w:val="18"/>
                <w:szCs w:val="18"/>
              </w:rPr>
              <w:t>一、</w:t>
            </w:r>
            <w:r>
              <w:rPr>
                <w:rFonts w:hint="eastAsia" w:asciiTheme="minorEastAsia" w:hAnsiTheme="minorEastAsia" w:eastAsiaTheme="minorEastAsia"/>
                <w:b/>
                <w:sz w:val="18"/>
                <w:szCs w:val="18"/>
              </w:rPr>
              <w:t>前端设备</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ind w:firstLine="89" w:firstLineChars="49"/>
              <w:jc w:val="center"/>
              <w:textAlignment w:val="auto"/>
              <w:rPr>
                <w:rFonts w:asciiTheme="minorEastAsia" w:hAnsiTheme="minorEastAsia" w:eastAsiaTheme="minorEastAsia"/>
                <w:b/>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ind w:firstLine="89" w:firstLineChars="49"/>
              <w:jc w:val="center"/>
              <w:textAlignment w:val="auto"/>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筒型摄像机</w:t>
            </w:r>
          </w:p>
        </w:tc>
        <w:tc>
          <w:tcPr>
            <w:tcW w:w="2351" w:type="pct"/>
            <w:shd w:val="clear" w:color="auto" w:fill="auto"/>
            <w:tcMar>
              <w:left w:w="0" w:type="dxa"/>
              <w:right w:w="0" w:type="dxa"/>
            </w:tcMar>
            <w:vAlign w:val="center"/>
          </w:tcPr>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像素：400万</w:t>
            </w:r>
          </w:p>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传感器类型：1/3英寸CMOS</w:t>
            </w:r>
          </w:p>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最大分辨率：2560×1440</w:t>
            </w:r>
          </w:p>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最大补光距离：80m</w:t>
            </w:r>
          </w:p>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最低照度：0.002Lux(彩色模式);0.0002Lux(黑白模式);0Lux(补光灯开启)</w:t>
            </w:r>
          </w:p>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电子快门：1/3s~1/100000s（可手动或自动调节）</w:t>
            </w:r>
          </w:p>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降噪：3D降噪</w:t>
            </w:r>
          </w:p>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补光灯数量</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2颗：（红外灯）</w:t>
            </w:r>
          </w:p>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日夜转换：ICR自动切换</w:t>
            </w:r>
          </w:p>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镜头类型：定焦</w:t>
            </w:r>
          </w:p>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扫描方式：逐行扫描</w:t>
            </w:r>
          </w:p>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镜头焦距：3.6mm</w:t>
            </w:r>
          </w:p>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资质：（投标时需提供证书复印件加盖制造商印章）</w:t>
            </w:r>
          </w:p>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制造商具备ITSS信息技术服务运行维护标准符合性证书</w:t>
            </w:r>
          </w:p>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制造商具备</w:t>
            </w:r>
            <w:r>
              <w:rPr>
                <w:rFonts w:asciiTheme="minorEastAsia" w:hAnsiTheme="minorEastAsia" w:eastAsiaTheme="minorEastAsia"/>
                <w:sz w:val="18"/>
                <w:szCs w:val="18"/>
              </w:rPr>
              <w:t>电子技术标准化研究院颁发的绿色工厂评价证书</w:t>
            </w:r>
          </w:p>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制造商具备ISO 22301：2019业务连续性管理体系认证证书</w:t>
            </w:r>
          </w:p>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制造商具备</w:t>
            </w:r>
            <w:r>
              <w:rPr>
                <w:rFonts w:asciiTheme="minorEastAsia" w:hAnsiTheme="minorEastAsia" w:eastAsiaTheme="minorEastAsia"/>
                <w:sz w:val="18"/>
                <w:szCs w:val="18"/>
              </w:rPr>
              <w:t>国家级工业设计中心资格</w:t>
            </w:r>
          </w:p>
          <w:p>
            <w:pPr>
              <w:pStyle w:val="9"/>
              <w:keepNext w:val="0"/>
              <w:keepLines w:val="0"/>
              <w:pageBreakBefore w:val="0"/>
              <w:widowControl/>
              <w:numPr>
                <w:ilvl w:val="0"/>
                <w:numId w:val="3"/>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投标时需提供原厂出具本项目的售后服务承诺函原件及参数证明函原件</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23</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asciiTheme="minorEastAsia" w:hAnsiTheme="minorEastAsia" w:eastAsiaTheme="minorEastAsia"/>
                <w:sz w:val="18"/>
                <w:szCs w:val="18"/>
              </w:rPr>
              <w:t>支架</w:t>
            </w:r>
          </w:p>
        </w:tc>
        <w:tc>
          <w:tcPr>
            <w:tcW w:w="2351"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textAlignment w:val="auto"/>
              <w:rPr>
                <w:rFonts w:asciiTheme="minorEastAsia" w:hAnsiTheme="minorEastAsia" w:eastAsiaTheme="minorEastAsia"/>
                <w:sz w:val="18"/>
                <w:szCs w:val="18"/>
              </w:rPr>
            </w:pPr>
            <w:r>
              <w:rPr>
                <w:rFonts w:asciiTheme="minorEastAsia" w:hAnsiTheme="minorEastAsia" w:eastAsiaTheme="minorEastAsia"/>
                <w:sz w:val="18"/>
                <w:szCs w:val="18"/>
              </w:rPr>
              <w:t>摄像机壁架</w:t>
            </w:r>
            <w:r>
              <w:rPr>
                <w:rFonts w:hint="eastAsia" w:asciiTheme="minorEastAsia" w:hAnsiTheme="minorEastAsia" w:eastAsiaTheme="minorEastAsia"/>
                <w:sz w:val="18"/>
                <w:szCs w:val="18"/>
              </w:rPr>
              <w:t>/支架</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个</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23</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POE交换机</w:t>
            </w:r>
          </w:p>
        </w:tc>
        <w:tc>
          <w:tcPr>
            <w:tcW w:w="2351" w:type="pct"/>
            <w:shd w:val="clear" w:color="auto" w:fill="auto"/>
            <w:tcMar>
              <w:left w:w="0" w:type="dxa"/>
              <w:right w:w="0" w:type="dxa"/>
            </w:tcMar>
            <w:vAlign w:val="center"/>
          </w:tcPr>
          <w:p>
            <w:pPr>
              <w:pStyle w:val="9"/>
              <w:keepNext w:val="0"/>
              <w:keepLines w:val="0"/>
              <w:pageBreakBefore w:val="0"/>
              <w:widowControl/>
              <w:numPr>
                <w:ilvl w:val="0"/>
                <w:numId w:val="4"/>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业务端口：8个10/100Mbps Base-T PoE端口 2个10/100/1000Mbps Base-T 端口</w:t>
            </w:r>
          </w:p>
          <w:p>
            <w:pPr>
              <w:pStyle w:val="9"/>
              <w:keepNext w:val="0"/>
              <w:keepLines w:val="0"/>
              <w:pageBreakBefore w:val="0"/>
              <w:widowControl/>
              <w:numPr>
                <w:ilvl w:val="0"/>
                <w:numId w:val="4"/>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热插拔：支持</w:t>
            </w:r>
          </w:p>
          <w:p>
            <w:pPr>
              <w:pStyle w:val="9"/>
              <w:keepNext w:val="0"/>
              <w:keepLines w:val="0"/>
              <w:pageBreakBefore w:val="0"/>
              <w:widowControl/>
              <w:numPr>
                <w:ilvl w:val="0"/>
                <w:numId w:val="4"/>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供电方式：DC 48-57V</w:t>
            </w:r>
          </w:p>
          <w:p>
            <w:pPr>
              <w:pStyle w:val="9"/>
              <w:keepNext w:val="0"/>
              <w:keepLines w:val="0"/>
              <w:pageBreakBefore w:val="0"/>
              <w:widowControl/>
              <w:numPr>
                <w:ilvl w:val="0"/>
                <w:numId w:val="4"/>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工作湿度：10%~90%</w:t>
            </w:r>
          </w:p>
          <w:p>
            <w:pPr>
              <w:pStyle w:val="9"/>
              <w:keepNext w:val="0"/>
              <w:keepLines w:val="0"/>
              <w:pageBreakBefore w:val="0"/>
              <w:widowControl/>
              <w:numPr>
                <w:ilvl w:val="0"/>
                <w:numId w:val="4"/>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功耗：空载功耗：3W PoE满载功耗：96W</w:t>
            </w:r>
          </w:p>
          <w:p>
            <w:pPr>
              <w:pStyle w:val="9"/>
              <w:keepNext w:val="0"/>
              <w:keepLines w:val="0"/>
              <w:pageBreakBefore w:val="0"/>
              <w:widowControl/>
              <w:numPr>
                <w:ilvl w:val="0"/>
                <w:numId w:val="4"/>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远距离模式：支持250m远距离供电传输</w:t>
            </w:r>
          </w:p>
          <w:p>
            <w:pPr>
              <w:pStyle w:val="9"/>
              <w:keepNext w:val="0"/>
              <w:keepLines w:val="0"/>
              <w:pageBreakBefore w:val="0"/>
              <w:widowControl/>
              <w:numPr>
                <w:ilvl w:val="0"/>
                <w:numId w:val="4"/>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PoE协议</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IEEE802.3af；IEEE802.3at；Hi-PoE</w:t>
            </w:r>
          </w:p>
          <w:p>
            <w:pPr>
              <w:pStyle w:val="9"/>
              <w:keepNext w:val="0"/>
              <w:keepLines w:val="0"/>
              <w:pageBreakBefore w:val="0"/>
              <w:widowControl/>
              <w:numPr>
                <w:ilvl w:val="0"/>
                <w:numId w:val="4"/>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PoE功率</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Port2-8≤30W，总功率≤96W，Port1≤ 60W（Hi-PoE）</w:t>
            </w:r>
          </w:p>
          <w:p>
            <w:pPr>
              <w:pStyle w:val="9"/>
              <w:keepNext w:val="0"/>
              <w:keepLines w:val="0"/>
              <w:pageBreakBefore w:val="0"/>
              <w:widowControl/>
              <w:numPr>
                <w:ilvl w:val="0"/>
                <w:numId w:val="4"/>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PoE功耗管理：支持PoE功耗管理,POE上下电，POE超过过载值掉电</w:t>
            </w:r>
          </w:p>
          <w:p>
            <w:pPr>
              <w:pStyle w:val="9"/>
              <w:keepNext w:val="0"/>
              <w:keepLines w:val="0"/>
              <w:pageBreakBefore w:val="0"/>
              <w:widowControl/>
              <w:numPr>
                <w:ilvl w:val="0"/>
                <w:numId w:val="4"/>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PoE供电线序：PoE:1,2,4,5（V+）,3,6,7,8（V-）;Hi-PoE:1,2,4,5（V+）,3,6,7,8（V-）</w:t>
            </w:r>
          </w:p>
          <w:p>
            <w:pPr>
              <w:pStyle w:val="9"/>
              <w:keepNext w:val="0"/>
              <w:keepLines w:val="0"/>
              <w:pageBreakBefore w:val="0"/>
              <w:widowControl/>
              <w:numPr>
                <w:ilvl w:val="0"/>
                <w:numId w:val="4"/>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包缓存大小：4Mb</w:t>
            </w:r>
          </w:p>
          <w:p>
            <w:pPr>
              <w:pStyle w:val="9"/>
              <w:keepNext w:val="0"/>
              <w:keepLines w:val="0"/>
              <w:pageBreakBefore w:val="0"/>
              <w:widowControl/>
              <w:numPr>
                <w:ilvl w:val="0"/>
                <w:numId w:val="4"/>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MAC表大小：16K</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汇聚交换机</w:t>
            </w:r>
          </w:p>
        </w:tc>
        <w:tc>
          <w:tcPr>
            <w:tcW w:w="2351" w:type="pct"/>
            <w:shd w:val="clear" w:color="auto" w:fill="auto"/>
            <w:tcMar>
              <w:left w:w="0" w:type="dxa"/>
              <w:right w:w="0" w:type="dxa"/>
            </w:tcMar>
            <w:vAlign w:val="center"/>
          </w:tcPr>
          <w:p>
            <w:pPr>
              <w:pStyle w:val="9"/>
              <w:keepNext w:val="0"/>
              <w:keepLines w:val="0"/>
              <w:pageBreakBefore w:val="0"/>
              <w:widowControl/>
              <w:numPr>
                <w:ilvl w:val="0"/>
                <w:numId w:val="5"/>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业务端口：24个10/100Mbps Base-T PoE端口</w:t>
            </w:r>
          </w:p>
          <w:p>
            <w:pPr>
              <w:pStyle w:val="9"/>
              <w:keepNext w:val="0"/>
              <w:keepLines w:val="0"/>
              <w:pageBreakBefore w:val="0"/>
              <w:widowControl/>
              <w:numPr>
                <w:ilvl w:val="0"/>
                <w:numId w:val="5"/>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1个10/100/1000Mbps Base-T 端口和1个复用1000Mbps Base-X </w:t>
            </w:r>
          </w:p>
          <w:p>
            <w:pPr>
              <w:pStyle w:val="9"/>
              <w:keepNext w:val="0"/>
              <w:keepLines w:val="0"/>
              <w:pageBreakBefore w:val="0"/>
              <w:widowControl/>
              <w:numPr>
                <w:ilvl w:val="0"/>
                <w:numId w:val="5"/>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端口热插拔：支持</w:t>
            </w:r>
          </w:p>
          <w:p>
            <w:pPr>
              <w:pStyle w:val="9"/>
              <w:keepNext w:val="0"/>
              <w:keepLines w:val="0"/>
              <w:pageBreakBefore w:val="0"/>
              <w:widowControl/>
              <w:numPr>
                <w:ilvl w:val="0"/>
                <w:numId w:val="5"/>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供电方式：AC100～240V</w:t>
            </w:r>
          </w:p>
          <w:p>
            <w:pPr>
              <w:pStyle w:val="9"/>
              <w:keepNext w:val="0"/>
              <w:keepLines w:val="0"/>
              <w:pageBreakBefore w:val="0"/>
              <w:widowControl/>
              <w:numPr>
                <w:ilvl w:val="0"/>
                <w:numId w:val="5"/>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工作温度：-20℃～+55℃</w:t>
            </w:r>
          </w:p>
          <w:p>
            <w:pPr>
              <w:pStyle w:val="9"/>
              <w:keepNext w:val="0"/>
              <w:keepLines w:val="0"/>
              <w:pageBreakBefore w:val="0"/>
              <w:widowControl/>
              <w:numPr>
                <w:ilvl w:val="0"/>
                <w:numId w:val="5"/>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工作湿度：5%~95%</w:t>
            </w:r>
          </w:p>
          <w:p>
            <w:pPr>
              <w:pStyle w:val="9"/>
              <w:keepNext w:val="0"/>
              <w:keepLines w:val="0"/>
              <w:pageBreakBefore w:val="0"/>
              <w:widowControl/>
              <w:numPr>
                <w:ilvl w:val="0"/>
                <w:numId w:val="5"/>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功耗：空载功耗：15W</w:t>
            </w:r>
          </w:p>
          <w:p>
            <w:pPr>
              <w:pStyle w:val="9"/>
              <w:keepNext w:val="0"/>
              <w:keepLines w:val="0"/>
              <w:pageBreakBefore w:val="0"/>
              <w:widowControl/>
              <w:numPr>
                <w:ilvl w:val="0"/>
                <w:numId w:val="5"/>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PoE满载功耗：190W</w:t>
            </w:r>
          </w:p>
          <w:p>
            <w:pPr>
              <w:pStyle w:val="9"/>
              <w:keepNext w:val="0"/>
              <w:keepLines w:val="0"/>
              <w:pageBreakBefore w:val="0"/>
              <w:widowControl/>
              <w:numPr>
                <w:ilvl w:val="0"/>
                <w:numId w:val="5"/>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PoE协议</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IEEE802.3af；IEEE802.3at；Hi-PoE</w:t>
            </w:r>
          </w:p>
          <w:p>
            <w:pPr>
              <w:pStyle w:val="9"/>
              <w:keepNext w:val="0"/>
              <w:keepLines w:val="0"/>
              <w:pageBreakBefore w:val="0"/>
              <w:widowControl/>
              <w:numPr>
                <w:ilvl w:val="0"/>
                <w:numId w:val="5"/>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PoE功率</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Port3-24≤30W，port1-2≤ 60W，总功率≤190W</w:t>
            </w:r>
          </w:p>
          <w:p>
            <w:pPr>
              <w:pStyle w:val="9"/>
              <w:keepNext w:val="0"/>
              <w:keepLines w:val="0"/>
              <w:pageBreakBefore w:val="0"/>
              <w:widowControl/>
              <w:numPr>
                <w:ilvl w:val="0"/>
                <w:numId w:val="5"/>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PoE供电线序：PoE:4,5(V+),7,8(V-);Hi-PoE:1,2,4,5（V+）,3,6,7,8（V-）</w:t>
            </w:r>
          </w:p>
          <w:p>
            <w:pPr>
              <w:pStyle w:val="9"/>
              <w:keepNext w:val="0"/>
              <w:keepLines w:val="0"/>
              <w:pageBreakBefore w:val="0"/>
              <w:widowControl/>
              <w:numPr>
                <w:ilvl w:val="0"/>
                <w:numId w:val="5"/>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远距离模式：Port1-8，Extend模式下支持250m远距离传输</w:t>
            </w:r>
          </w:p>
          <w:p>
            <w:pPr>
              <w:pStyle w:val="9"/>
              <w:keepNext w:val="0"/>
              <w:keepLines w:val="0"/>
              <w:pageBreakBefore w:val="0"/>
              <w:widowControl/>
              <w:numPr>
                <w:ilvl w:val="0"/>
                <w:numId w:val="5"/>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交换容量：6.8Gbps</w:t>
            </w:r>
          </w:p>
          <w:p>
            <w:pPr>
              <w:pStyle w:val="9"/>
              <w:keepNext w:val="0"/>
              <w:keepLines w:val="0"/>
              <w:pageBreakBefore w:val="0"/>
              <w:widowControl/>
              <w:numPr>
                <w:ilvl w:val="0"/>
                <w:numId w:val="5"/>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包转发率：5.06Mpps</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cs="Times New Roman" w:asciiTheme="minorEastAsia" w:hAnsiTheme="minorEastAsia" w:eastAsiaTheme="minorEastAsia"/>
                <w:color w:val="000000"/>
                <w:kern w:val="2"/>
                <w:sz w:val="18"/>
                <w:szCs w:val="18"/>
                <w:lang w:val="en-US" w:eastAsia="zh-CN" w:bidi="ar-SA"/>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cs="Times New Roman" w:asciiTheme="minorEastAsia" w:hAnsiTheme="minorEastAsia" w:eastAsiaTheme="minorEastAsia"/>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光纤收发器</w:t>
            </w:r>
          </w:p>
        </w:tc>
        <w:tc>
          <w:tcPr>
            <w:tcW w:w="2351"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百兆</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cs="Times New Roman" w:asciiTheme="minorEastAsia" w:hAnsiTheme="minorEastAsia" w:eastAsiaTheme="minorEastAsia"/>
                <w:color w:val="000000"/>
                <w:kern w:val="2"/>
                <w:sz w:val="18"/>
                <w:szCs w:val="18"/>
                <w:lang w:val="en-US" w:eastAsia="zh-CN" w:bidi="ar-SA"/>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cs="Times New Roman" w:asciiTheme="minorEastAsia" w:hAnsiTheme="minorEastAsia" w:eastAsiaTheme="minorEastAsia"/>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4038" w:type="pct"/>
            <w:gridSpan w:val="5"/>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left"/>
              <w:textAlignment w:val="auto"/>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二、机房设备</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rPr>
                <w:rFonts w:hint="eastAsia" w:cs="Times New Roman" w:asciiTheme="minorEastAsia" w:hAnsiTheme="minorEastAsia" w:eastAsiaTheme="minorEastAsia"/>
                <w:color w:val="000000"/>
                <w:kern w:val="2"/>
                <w:sz w:val="18"/>
                <w:szCs w:val="18"/>
                <w:lang w:val="en-US" w:eastAsia="zh-CN" w:bidi="ar-SA"/>
              </w:rPr>
            </w:pPr>
          </w:p>
        </w:tc>
        <w:tc>
          <w:tcPr>
            <w:tcW w:w="516" w:type="pct"/>
            <w:shd w:val="clear" w:color="auto" w:fill="auto"/>
            <w:vAlign w:val="center"/>
          </w:tcPr>
          <w:p>
            <w:pPr>
              <w:keepNext w:val="0"/>
              <w:keepLines w:val="0"/>
              <w:pageBreakBefore w:val="0"/>
              <w:widowControl/>
              <w:suppressLineNumbers w:val="0"/>
              <w:kinsoku/>
              <w:wordWrap/>
              <w:overflowPunct/>
              <w:topLinePunct w:val="0"/>
              <w:bidi w:val="0"/>
              <w:adjustRightInd/>
              <w:snapToGrid w:val="0"/>
              <w:spacing w:before="32" w:beforeLines="10" w:line="240" w:lineRule="auto"/>
              <w:jc w:val="right"/>
              <w:textAlignment w:val="center"/>
              <w:rPr>
                <w:rFonts w:hint="eastAsia" w:cs="Times New Roman" w:asciiTheme="minorEastAsia" w:hAnsiTheme="minorEastAsia" w:eastAsiaTheme="minorEastAsia"/>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64路硬盘录像机</w:t>
            </w:r>
          </w:p>
        </w:tc>
        <w:tc>
          <w:tcPr>
            <w:tcW w:w="2351" w:type="pct"/>
            <w:shd w:val="clear" w:color="auto" w:fill="auto"/>
            <w:tcMar>
              <w:left w:w="0" w:type="dxa"/>
              <w:right w:w="0" w:type="dxa"/>
            </w:tcMar>
            <w:vAlign w:val="center"/>
          </w:tcPr>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HDMI 2路</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IPC分辨率 12M/4K/6M/5M/4M/3M/1080P/1.3M/720P</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USB接口 2个前置USB2.0接口/2个后置USB3.0接口</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VGA 2路</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eSATA接口 1个外置eSATA接口</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串行接口 1个RS-232/1个RS-485</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主处理器 工业级嵌入式微控制器</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产品定位 分销</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前智能 支持</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前智能接入 支持Smart IPC接入、绊线入侵、区域入侵、场景变化、移动侦测、人脸检测、物品遗留和物品搬移时，可给出报警提示，可对检测到的人脸图像进行裁切可实现智能规则配置和智能录像查询，同时支持热度图，人数统计，车牌检测（支持卡口ITC、球机）、智能跟踪球</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功耗 ＜20W（不含硬盘）</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后智能 不支持</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备份方式 U盘，eSATA方式，DVD刻录</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多路回放 最大支持16路回放</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存储方式 支持硬盘、外接USB存储设备、DVD刻录</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资质：（投标时需提供证书复印件加盖制造商印章）</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制造商具备ITSS信息技术服务运行维护标准符合性证书</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制造商具备</w:t>
            </w:r>
            <w:r>
              <w:rPr>
                <w:rFonts w:asciiTheme="minorEastAsia" w:hAnsiTheme="minorEastAsia" w:eastAsiaTheme="minorEastAsia"/>
                <w:sz w:val="18"/>
                <w:szCs w:val="18"/>
              </w:rPr>
              <w:t>电子技术标准化研究院颁发的绿色工厂评价证书</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制造商具备ISO 22301：2019业务连续性管理体系认证证书</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制造商具备</w:t>
            </w:r>
            <w:r>
              <w:rPr>
                <w:rFonts w:asciiTheme="minorEastAsia" w:hAnsiTheme="minorEastAsia" w:eastAsiaTheme="minorEastAsia"/>
                <w:sz w:val="18"/>
                <w:szCs w:val="18"/>
              </w:rPr>
              <w:t>国家级工业设计中心资格</w:t>
            </w:r>
          </w:p>
          <w:p>
            <w:pPr>
              <w:pStyle w:val="9"/>
              <w:keepNext w:val="0"/>
              <w:keepLines w:val="0"/>
              <w:pageBreakBefore w:val="0"/>
              <w:widowControl/>
              <w:numPr>
                <w:ilvl w:val="0"/>
                <w:numId w:val="6"/>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投标时需提供原厂出具本项目的售后服务承诺函原件及参数证明函原件</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硬盘</w:t>
            </w:r>
          </w:p>
        </w:tc>
        <w:tc>
          <w:tcPr>
            <w:tcW w:w="2351"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6TB</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个</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管理机</w:t>
            </w:r>
          </w:p>
        </w:tc>
        <w:tc>
          <w:tcPr>
            <w:tcW w:w="2351" w:type="pct"/>
            <w:shd w:val="clear" w:color="auto" w:fill="auto"/>
            <w:tcMar>
              <w:left w:w="0" w:type="dxa"/>
              <w:right w:w="0" w:type="dxa"/>
            </w:tcMar>
            <w:vAlign w:val="center"/>
          </w:tcPr>
          <w:p>
            <w:pPr>
              <w:pStyle w:val="9"/>
              <w:keepNext w:val="0"/>
              <w:keepLines w:val="0"/>
              <w:pageBreakBefore w:val="0"/>
              <w:widowControl/>
              <w:numPr>
                <w:ilvl w:val="0"/>
                <w:numId w:val="7"/>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CPU：Intel Core I5-9500处理器（3.0GHz 主频、9M 缓存）</w:t>
            </w:r>
          </w:p>
          <w:p>
            <w:pPr>
              <w:pStyle w:val="9"/>
              <w:keepNext w:val="0"/>
              <w:keepLines w:val="0"/>
              <w:pageBreakBefore w:val="0"/>
              <w:widowControl/>
              <w:numPr>
                <w:ilvl w:val="0"/>
                <w:numId w:val="7"/>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内存：8G DDR4 2400MHz 内存，提供双内存槽位</w:t>
            </w:r>
          </w:p>
          <w:p>
            <w:pPr>
              <w:pStyle w:val="9"/>
              <w:keepNext w:val="0"/>
              <w:keepLines w:val="0"/>
              <w:pageBreakBefore w:val="0"/>
              <w:widowControl/>
              <w:numPr>
                <w:ilvl w:val="0"/>
                <w:numId w:val="7"/>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显卡：集成显卡</w:t>
            </w:r>
          </w:p>
          <w:p>
            <w:pPr>
              <w:pStyle w:val="9"/>
              <w:keepNext w:val="0"/>
              <w:keepLines w:val="0"/>
              <w:pageBreakBefore w:val="0"/>
              <w:widowControl/>
              <w:numPr>
                <w:ilvl w:val="0"/>
                <w:numId w:val="7"/>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声卡：集成声卡，支持5.1声道（提供前2后3共5个音频接口）</w:t>
            </w:r>
          </w:p>
          <w:p>
            <w:pPr>
              <w:pStyle w:val="9"/>
              <w:keepNext w:val="0"/>
              <w:keepLines w:val="0"/>
              <w:pageBreakBefore w:val="0"/>
              <w:widowControl/>
              <w:numPr>
                <w:ilvl w:val="0"/>
                <w:numId w:val="7"/>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硬盘：128G固态硬盘+1TBG SATA3 7200rpm 硬盘；</w:t>
            </w:r>
          </w:p>
          <w:p>
            <w:pPr>
              <w:pStyle w:val="9"/>
              <w:keepNext w:val="0"/>
              <w:keepLines w:val="0"/>
              <w:pageBreakBefore w:val="0"/>
              <w:widowControl/>
              <w:numPr>
                <w:ilvl w:val="0"/>
                <w:numId w:val="7"/>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网卡：集成10/100/1000M以太网卡；</w:t>
            </w:r>
          </w:p>
          <w:p>
            <w:pPr>
              <w:pStyle w:val="9"/>
              <w:keepNext w:val="0"/>
              <w:keepLines w:val="0"/>
              <w:pageBreakBefore w:val="0"/>
              <w:widowControl/>
              <w:numPr>
                <w:ilvl w:val="0"/>
                <w:numId w:val="7"/>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扩展槽：1个PCI-E*16、2个PCI-E*1 槽位</w:t>
            </w:r>
          </w:p>
          <w:p>
            <w:pPr>
              <w:pStyle w:val="9"/>
              <w:keepNext w:val="0"/>
              <w:keepLines w:val="0"/>
              <w:pageBreakBefore w:val="0"/>
              <w:widowControl/>
              <w:numPr>
                <w:ilvl w:val="0"/>
                <w:numId w:val="7"/>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键盘、鼠标：原厂防水键盘、抗菌鼠标；</w:t>
            </w:r>
          </w:p>
          <w:p>
            <w:pPr>
              <w:pStyle w:val="9"/>
              <w:keepNext w:val="0"/>
              <w:keepLines w:val="0"/>
              <w:pageBreakBefore w:val="0"/>
              <w:widowControl/>
              <w:numPr>
                <w:ilvl w:val="0"/>
                <w:numId w:val="7"/>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接口：10个USB 接口(前置6个USB 3.1 G1，后置4个USB 2.0)、1组PS/2接口、1个串口、VGA+HDMI接口（VGA非转接）； </w:t>
            </w:r>
          </w:p>
          <w:p>
            <w:pPr>
              <w:pStyle w:val="9"/>
              <w:keepNext w:val="0"/>
              <w:keepLines w:val="0"/>
              <w:pageBreakBefore w:val="0"/>
              <w:widowControl/>
              <w:numPr>
                <w:ilvl w:val="0"/>
                <w:numId w:val="7"/>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安全特性：USB屏蔽技术，仅识别USB键盘、鼠标，无法识别USB读取设备，有效防止数据泄露（投标时提供功能性截屏加盖制造商印章）； </w:t>
            </w:r>
          </w:p>
          <w:p>
            <w:pPr>
              <w:pStyle w:val="9"/>
              <w:keepNext w:val="0"/>
              <w:keepLines w:val="0"/>
              <w:pageBreakBefore w:val="0"/>
              <w:widowControl/>
              <w:numPr>
                <w:ilvl w:val="0"/>
                <w:numId w:val="7"/>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机箱：标准MATX立式机箱，采用蜂窝结构散热，机箱不大于16L，顶置提手，方便搬运，顶置电源开关键；</w:t>
            </w:r>
          </w:p>
          <w:p>
            <w:pPr>
              <w:pStyle w:val="9"/>
              <w:keepNext w:val="0"/>
              <w:keepLines w:val="0"/>
              <w:pageBreakBefore w:val="0"/>
              <w:widowControl/>
              <w:numPr>
                <w:ilvl w:val="0"/>
                <w:numId w:val="7"/>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强力散热风扇：能够达到有效降解甲醛、净化空气的效果（投标时时提供第三方检测机构的证明文件加盖制造商印章）</w:t>
            </w:r>
          </w:p>
          <w:p>
            <w:pPr>
              <w:pStyle w:val="9"/>
              <w:keepNext w:val="0"/>
              <w:keepLines w:val="0"/>
              <w:pageBreakBefore w:val="0"/>
              <w:widowControl/>
              <w:numPr>
                <w:ilvl w:val="0"/>
                <w:numId w:val="7"/>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机箱不大于16L，顶置提手，方便搬运，顶置电源开关键（提供截图加盖制造商印章）</w:t>
            </w:r>
          </w:p>
          <w:p>
            <w:pPr>
              <w:pStyle w:val="9"/>
              <w:keepNext w:val="0"/>
              <w:keepLines w:val="0"/>
              <w:pageBreakBefore w:val="0"/>
              <w:widowControl/>
              <w:numPr>
                <w:ilvl w:val="0"/>
                <w:numId w:val="7"/>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显示器：23.8液晶显示器</w:t>
            </w:r>
          </w:p>
          <w:p>
            <w:pPr>
              <w:pStyle w:val="9"/>
              <w:keepNext w:val="0"/>
              <w:keepLines w:val="0"/>
              <w:pageBreakBefore w:val="0"/>
              <w:widowControl/>
              <w:numPr>
                <w:ilvl w:val="0"/>
                <w:numId w:val="7"/>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管理软件：1.硬件主要参数检测；优化加速；2.系统垃圾清理；3.病毒查杀；4.原厂驱动更新；5.网络测速；网络诊断，6.自动识别品牌型号，自动识别序列号，自动识别保修开始至截止信息，7.软硬件同品牌（提供以上软件功能性截图及对应的软件著作权证书原件扫描件加盖制造商公章）</w:t>
            </w:r>
          </w:p>
          <w:p>
            <w:pPr>
              <w:pStyle w:val="9"/>
              <w:keepNext w:val="0"/>
              <w:keepLines w:val="0"/>
              <w:pageBreakBefore w:val="0"/>
              <w:widowControl/>
              <w:numPr>
                <w:ilvl w:val="0"/>
                <w:numId w:val="7"/>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认证：（1）产品制造商获得信息安全服务资质证书（安全工程类一级）（提供证书原件扫描件加盖制造商公章）；</w:t>
            </w:r>
          </w:p>
          <w:p>
            <w:pPr>
              <w:pStyle w:val="9"/>
              <w:keepNext w:val="0"/>
              <w:keepLines w:val="0"/>
              <w:pageBreakBefore w:val="0"/>
              <w:widowControl/>
              <w:kinsoku/>
              <w:wordWrap/>
              <w:overflowPunct/>
              <w:topLinePunct w:val="0"/>
              <w:bidi w:val="0"/>
              <w:adjustRightInd/>
              <w:snapToGrid w:val="0"/>
              <w:spacing w:before="32" w:beforeLines="10" w:line="240" w:lineRule="auto"/>
              <w:ind w:left="420" w:firstLine="0"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（2）产品通过防火阻燃测验，并提供国家机构（须有CNAS认可的检测机构）的检验证书（提供证书原件扫描件加盖制造商公章）</w:t>
            </w:r>
          </w:p>
          <w:p>
            <w:pPr>
              <w:pStyle w:val="9"/>
              <w:keepNext w:val="0"/>
              <w:keepLines w:val="0"/>
              <w:pageBreakBefore w:val="0"/>
              <w:widowControl/>
              <w:numPr>
                <w:ilvl w:val="0"/>
                <w:numId w:val="7"/>
              </w:numPr>
              <w:kinsoku/>
              <w:wordWrap/>
              <w:overflowPunct/>
              <w:topLinePunct w:val="0"/>
              <w:autoSpaceDE w:val="0"/>
              <w:autoSpaceDN w:val="0"/>
              <w:bidi w:val="0"/>
              <w:adjustRightInd/>
              <w:snapToGrid w:val="0"/>
              <w:spacing w:before="32" w:beforeLines="10" w:line="240" w:lineRule="auto"/>
              <w:ind w:firstLineChars="0"/>
              <w:jc w:val="lef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投标时需提供原厂出具本项目的售后服务承诺函原件及参数证明函原件</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显示器</w:t>
            </w:r>
          </w:p>
        </w:tc>
        <w:tc>
          <w:tcPr>
            <w:tcW w:w="2351"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22寸液晶显示器</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4038" w:type="pct"/>
            <w:gridSpan w:val="5"/>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left"/>
              <w:textAlignment w:val="auto"/>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三、综合布线及集成</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rPr>
                <w:rFonts w:hint="eastAsia" w:cs="Times New Roman" w:asciiTheme="minorEastAsia" w:hAnsiTheme="minorEastAsia" w:eastAsiaTheme="minorEastAsia"/>
                <w:color w:val="000000"/>
                <w:kern w:val="2"/>
                <w:sz w:val="18"/>
                <w:szCs w:val="18"/>
                <w:lang w:val="en-US" w:eastAsia="zh-CN" w:bidi="ar-SA"/>
              </w:rPr>
            </w:pPr>
          </w:p>
        </w:tc>
        <w:tc>
          <w:tcPr>
            <w:tcW w:w="516" w:type="pct"/>
            <w:shd w:val="clear" w:color="auto" w:fill="auto"/>
            <w:vAlign w:val="center"/>
          </w:tcPr>
          <w:p>
            <w:pPr>
              <w:keepNext w:val="0"/>
              <w:keepLines w:val="0"/>
              <w:pageBreakBefore w:val="0"/>
              <w:widowControl/>
              <w:suppressLineNumbers w:val="0"/>
              <w:kinsoku/>
              <w:wordWrap/>
              <w:overflowPunct/>
              <w:topLinePunct w:val="0"/>
              <w:bidi w:val="0"/>
              <w:adjustRightInd/>
              <w:snapToGrid w:val="0"/>
              <w:spacing w:before="32" w:beforeLines="10" w:line="240" w:lineRule="auto"/>
              <w:jc w:val="right"/>
              <w:textAlignment w:val="center"/>
              <w:rPr>
                <w:rFonts w:hint="eastAsia" w:cs="Times New Roman" w:asciiTheme="minorEastAsia" w:hAnsiTheme="minorEastAsia" w:eastAsiaTheme="minorEastAsia"/>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光纤</w:t>
            </w:r>
          </w:p>
        </w:tc>
        <w:tc>
          <w:tcPr>
            <w:tcW w:w="2351"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12芯</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700</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网线</w:t>
            </w:r>
          </w:p>
        </w:tc>
        <w:tc>
          <w:tcPr>
            <w:tcW w:w="2351"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6类（305米）</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件</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电源线</w:t>
            </w:r>
          </w:p>
        </w:tc>
        <w:tc>
          <w:tcPr>
            <w:tcW w:w="2351"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RVV3*4mm²</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700</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机柜</w:t>
            </w:r>
          </w:p>
        </w:tc>
        <w:tc>
          <w:tcPr>
            <w:tcW w:w="2351"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6U</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光纤熔接</w:t>
            </w:r>
          </w:p>
        </w:tc>
        <w:tc>
          <w:tcPr>
            <w:tcW w:w="2351"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(36芯)</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项</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光纤盒</w:t>
            </w:r>
          </w:p>
        </w:tc>
        <w:tc>
          <w:tcPr>
            <w:tcW w:w="2351"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8口</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个</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光纤盒</w:t>
            </w:r>
          </w:p>
        </w:tc>
        <w:tc>
          <w:tcPr>
            <w:tcW w:w="2351"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24口</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个</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尾纤</w:t>
            </w:r>
          </w:p>
        </w:tc>
        <w:tc>
          <w:tcPr>
            <w:tcW w:w="2351"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尾纤</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条</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36</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跳纤</w:t>
            </w:r>
          </w:p>
        </w:tc>
        <w:tc>
          <w:tcPr>
            <w:tcW w:w="2351"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跳纤</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条</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水晶头</w:t>
            </w:r>
          </w:p>
        </w:tc>
        <w:tc>
          <w:tcPr>
            <w:tcW w:w="2351"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六类</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盒</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线管</w:t>
            </w:r>
          </w:p>
        </w:tc>
        <w:tc>
          <w:tcPr>
            <w:tcW w:w="2351"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（PVC25管）</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2000</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辅材辅料</w:t>
            </w:r>
          </w:p>
        </w:tc>
        <w:tc>
          <w:tcPr>
            <w:tcW w:w="2351"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扎带、钢钉、膨胀螺丝、波纹管、胶布、胶水、识别标签、插排、弯头、直通、钢绳、水泥等</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项</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eastAsia"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038" w:type="pct"/>
            <w:gridSpan w:val="5"/>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both"/>
              <w:textAlignment w:val="auto"/>
              <w:rPr>
                <w:rFonts w:hint="eastAsia" w:asciiTheme="minorEastAsia" w:hAnsiTheme="minorEastAsia" w:eastAsiaTheme="minorEastAsia"/>
                <w:color w:val="000000"/>
                <w:sz w:val="18"/>
                <w:szCs w:val="18"/>
              </w:rPr>
            </w:pPr>
            <w:r>
              <w:rPr>
                <w:rFonts w:asciiTheme="minorEastAsia" w:hAnsiTheme="minorEastAsia" w:eastAsiaTheme="minorEastAsia"/>
                <w:b/>
                <w:color w:val="000000"/>
                <w:sz w:val="18"/>
                <w:szCs w:val="18"/>
              </w:rPr>
              <w:t>四</w:t>
            </w:r>
            <w:r>
              <w:rPr>
                <w:rFonts w:hint="eastAsia" w:asciiTheme="minorEastAsia" w:hAnsiTheme="minorEastAsia" w:eastAsiaTheme="minorEastAsia"/>
                <w:b/>
                <w:color w:val="000000"/>
                <w:sz w:val="18"/>
                <w:szCs w:val="18"/>
              </w:rPr>
              <w:t>、施工及安装</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rPr>
                <w:rFonts w:hint="eastAsia" w:cs="Times New Roman" w:asciiTheme="minorEastAsia" w:hAnsiTheme="minorEastAsia" w:eastAsiaTheme="minorEastAsia"/>
                <w:color w:val="000000"/>
                <w:kern w:val="2"/>
                <w:sz w:val="18"/>
                <w:szCs w:val="18"/>
                <w:lang w:val="en-US" w:eastAsia="zh-CN" w:bidi="ar-SA"/>
              </w:rPr>
            </w:pPr>
          </w:p>
        </w:tc>
        <w:tc>
          <w:tcPr>
            <w:tcW w:w="516" w:type="pct"/>
            <w:shd w:val="clear" w:color="auto" w:fill="auto"/>
            <w:vAlign w:val="center"/>
          </w:tcPr>
          <w:p>
            <w:pPr>
              <w:keepNext w:val="0"/>
              <w:keepLines w:val="0"/>
              <w:pageBreakBefore w:val="0"/>
              <w:widowControl/>
              <w:suppressLineNumbers w:val="0"/>
              <w:kinsoku/>
              <w:wordWrap/>
              <w:overflowPunct/>
              <w:topLinePunct w:val="0"/>
              <w:bidi w:val="0"/>
              <w:adjustRightInd/>
              <w:snapToGrid w:val="0"/>
              <w:spacing w:before="32" w:beforeLines="10" w:line="240" w:lineRule="auto"/>
              <w:jc w:val="right"/>
              <w:textAlignment w:val="center"/>
              <w:rPr>
                <w:rFonts w:hint="eastAsia" w:cs="Times New Roman" w:asciiTheme="minorEastAsia" w:hAnsiTheme="minorEastAsia" w:eastAsiaTheme="minorEastAsia"/>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72" w:type="pct"/>
            <w:shd w:val="clear" w:color="auto" w:fill="auto"/>
            <w:tcMar>
              <w:left w:w="0" w:type="dxa"/>
              <w:right w:w="0" w:type="dxa"/>
            </w:tcMar>
            <w:vAlign w:val="center"/>
          </w:tcPr>
          <w:p>
            <w:pPr>
              <w:keepNext w:val="0"/>
              <w:keepLines w:val="0"/>
              <w:pageBreakBefore w:val="0"/>
              <w:numPr>
                <w:ilvl w:val="0"/>
                <w:numId w:val="2"/>
              </w:numPr>
              <w:kinsoku/>
              <w:wordWrap/>
              <w:overflowPunct/>
              <w:topLinePunct w:val="0"/>
              <w:autoSpaceDE w:val="0"/>
              <w:autoSpaceDN w:val="0"/>
              <w:bidi w:val="0"/>
              <w:adjustRightInd/>
              <w:snapToGrid w:val="0"/>
              <w:spacing w:before="32" w:beforeLines="10" w:line="240" w:lineRule="auto"/>
              <w:jc w:val="center"/>
              <w:textAlignment w:val="auto"/>
              <w:rPr>
                <w:rFonts w:asciiTheme="minorEastAsia" w:hAnsiTheme="minorEastAsia" w:eastAsiaTheme="minorEastAsia"/>
                <w:sz w:val="18"/>
                <w:szCs w:val="18"/>
              </w:rPr>
            </w:pPr>
          </w:p>
        </w:tc>
        <w:tc>
          <w:tcPr>
            <w:tcW w:w="625"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布线施工及设备安装</w:t>
            </w:r>
          </w:p>
        </w:tc>
        <w:tc>
          <w:tcPr>
            <w:tcW w:w="2351"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监控点弱电布线及设备安装、施工，</w:t>
            </w:r>
            <w:r>
              <w:rPr>
                <w:rFonts w:asciiTheme="minorEastAsia" w:hAnsiTheme="minorEastAsia" w:eastAsiaTheme="minorEastAsia"/>
                <w:sz w:val="18"/>
                <w:szCs w:val="18"/>
              </w:rPr>
              <w:t>包括前端设备定位、端接、分配、系统测试、调试、互联互通等人工费用</w:t>
            </w:r>
          </w:p>
        </w:tc>
        <w:tc>
          <w:tcPr>
            <w:tcW w:w="349" w:type="pct"/>
            <w:shd w:val="clear" w:color="auto" w:fill="auto"/>
            <w:tcMar>
              <w:left w:w="0" w:type="dxa"/>
              <w:right w:w="0" w:type="dxa"/>
            </w:tcMar>
            <w:vAlign w:val="center"/>
          </w:tcPr>
          <w:p>
            <w:pPr>
              <w:keepNext w:val="0"/>
              <w:keepLines w:val="0"/>
              <w:pageBreakBefore w:val="0"/>
              <w:widowControl/>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项</w:t>
            </w:r>
          </w:p>
        </w:tc>
        <w:tc>
          <w:tcPr>
            <w:tcW w:w="339" w:type="pct"/>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445"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default" w:asciiTheme="minorEastAsia" w:hAnsiTheme="minorEastAsia" w:eastAsiaTheme="minorEastAsia"/>
                <w:color w:val="000000"/>
                <w:sz w:val="18"/>
                <w:szCs w:val="18"/>
                <w:lang w:val="en-US" w:eastAsia="zh-CN"/>
              </w:rPr>
            </w:pPr>
          </w:p>
        </w:tc>
        <w:tc>
          <w:tcPr>
            <w:tcW w:w="516" w:type="pct"/>
            <w:shd w:val="clear" w:color="auto" w:fill="auto"/>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hint="default" w:asciiTheme="minorEastAsia" w:hAnsiTheme="minorEastAsia" w:eastAsiaTheme="minorEastAsia"/>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7"/>
            <w:shd w:val="clear" w:color="auto" w:fill="auto"/>
            <w:tcMar>
              <w:left w:w="0" w:type="dxa"/>
              <w:right w:w="0" w:type="dxa"/>
            </w:tcMar>
            <w:vAlign w:val="center"/>
          </w:tcPr>
          <w:p>
            <w:pPr>
              <w:keepNext w:val="0"/>
              <w:keepLines w:val="0"/>
              <w:pageBreakBefore w:val="0"/>
              <w:kinsoku/>
              <w:wordWrap/>
              <w:overflowPunct/>
              <w:topLinePunct w:val="0"/>
              <w:bidi w:val="0"/>
              <w:adjustRightInd/>
              <w:snapToGrid w:val="0"/>
              <w:spacing w:before="32" w:beforeLines="10" w:line="240" w:lineRule="auto"/>
              <w:jc w:val="center"/>
              <w:textAlignment w:val="auto"/>
              <w:rPr>
                <w:rFonts w:asciiTheme="minorEastAsia" w:hAnsiTheme="minorEastAsia" w:eastAsiaTheme="minorEastAsia"/>
                <w:b/>
                <w:color w:val="000000"/>
                <w:sz w:val="18"/>
                <w:szCs w:val="18"/>
              </w:rPr>
            </w:pPr>
            <w:r>
              <w:rPr>
                <w:rFonts w:asciiTheme="minorEastAsia" w:hAnsiTheme="minorEastAsia" w:eastAsiaTheme="minorEastAsia"/>
                <w:b/>
                <w:color w:val="000000"/>
                <w:sz w:val="21"/>
                <w:szCs w:val="21"/>
              </w:rPr>
              <w:t>合计</w:t>
            </w:r>
            <w:r>
              <w:rPr>
                <w:rFonts w:hint="eastAsia" w:asciiTheme="minorEastAsia" w:hAnsiTheme="minorEastAsia" w:eastAsiaTheme="minorEastAsia"/>
                <w:b/>
                <w:color w:val="000000"/>
                <w:sz w:val="21"/>
                <w:szCs w:val="21"/>
              </w:rPr>
              <w:t xml:space="preserve">：  </w:t>
            </w:r>
          </w:p>
        </w:tc>
      </w:tr>
    </w:tbl>
    <w:p>
      <w:pPr>
        <w:spacing w:line="440" w:lineRule="exact"/>
        <w:rPr>
          <w:rFonts w:ascii="宋体" w:hAnsi="宋体"/>
          <w:sz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72B1B"/>
    <w:multiLevelType w:val="multilevel"/>
    <w:tmpl w:val="04A72B1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1E734F"/>
    <w:multiLevelType w:val="multilevel"/>
    <w:tmpl w:val="141E73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4D1117"/>
    <w:multiLevelType w:val="multilevel"/>
    <w:tmpl w:val="224D11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5D2C76"/>
    <w:multiLevelType w:val="multilevel"/>
    <w:tmpl w:val="495D2C7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D448C7"/>
    <w:multiLevelType w:val="multilevel"/>
    <w:tmpl w:val="5ED448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230785"/>
    <w:multiLevelType w:val="multilevel"/>
    <w:tmpl w:val="6E230785"/>
    <w:lvl w:ilvl="0" w:tentative="0">
      <w:start w:val="1"/>
      <w:numFmt w:val="bullet"/>
      <w:pStyle w:val="8"/>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779D0F55"/>
    <w:multiLevelType w:val="multilevel"/>
    <w:tmpl w:val="779D0F5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NmU4M2VlOTBmMWRmMjNmMjhjYTA3MzVhOThlYWYifQ=="/>
  </w:docVars>
  <w:rsids>
    <w:rsidRoot w:val="00CC3B68"/>
    <w:rsid w:val="0002124E"/>
    <w:rsid w:val="0003012A"/>
    <w:rsid w:val="0005604F"/>
    <w:rsid w:val="000A4FFE"/>
    <w:rsid w:val="00140371"/>
    <w:rsid w:val="001A2538"/>
    <w:rsid w:val="001A2D93"/>
    <w:rsid w:val="00271B5E"/>
    <w:rsid w:val="002A0C3A"/>
    <w:rsid w:val="002D157D"/>
    <w:rsid w:val="002D5CF2"/>
    <w:rsid w:val="00306371"/>
    <w:rsid w:val="00312365"/>
    <w:rsid w:val="00363E94"/>
    <w:rsid w:val="004018F0"/>
    <w:rsid w:val="0045177D"/>
    <w:rsid w:val="004708E8"/>
    <w:rsid w:val="004E1F7A"/>
    <w:rsid w:val="0053294D"/>
    <w:rsid w:val="005831CA"/>
    <w:rsid w:val="005926A6"/>
    <w:rsid w:val="005A37FC"/>
    <w:rsid w:val="00625490"/>
    <w:rsid w:val="006860CE"/>
    <w:rsid w:val="006902C8"/>
    <w:rsid w:val="006A3CC5"/>
    <w:rsid w:val="006C55B9"/>
    <w:rsid w:val="00781B8A"/>
    <w:rsid w:val="007C18E4"/>
    <w:rsid w:val="008405D4"/>
    <w:rsid w:val="008B5D40"/>
    <w:rsid w:val="008E6D95"/>
    <w:rsid w:val="008F4E54"/>
    <w:rsid w:val="00902131"/>
    <w:rsid w:val="00922D74"/>
    <w:rsid w:val="00A42BAB"/>
    <w:rsid w:val="00AA2A73"/>
    <w:rsid w:val="00AC35FF"/>
    <w:rsid w:val="00B01431"/>
    <w:rsid w:val="00B44BC7"/>
    <w:rsid w:val="00B65C5A"/>
    <w:rsid w:val="00B96680"/>
    <w:rsid w:val="00BC29B7"/>
    <w:rsid w:val="00BE629D"/>
    <w:rsid w:val="00C06EFF"/>
    <w:rsid w:val="00C7028F"/>
    <w:rsid w:val="00C819B7"/>
    <w:rsid w:val="00C9071B"/>
    <w:rsid w:val="00C9596C"/>
    <w:rsid w:val="00CC3B68"/>
    <w:rsid w:val="00CD052B"/>
    <w:rsid w:val="00E101BD"/>
    <w:rsid w:val="00E52F45"/>
    <w:rsid w:val="00E64609"/>
    <w:rsid w:val="00E82643"/>
    <w:rsid w:val="00F51949"/>
    <w:rsid w:val="00F65D43"/>
    <w:rsid w:val="00F970FE"/>
    <w:rsid w:val="00FB005A"/>
    <w:rsid w:val="00FC50F1"/>
    <w:rsid w:val="2DCE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黑体"/>
      <w:sz w:val="18"/>
      <w:szCs w:val="18"/>
    </w:rPr>
  </w:style>
  <w:style w:type="character" w:customStyle="1" w:styleId="7">
    <w:name w:val="页脚 Char"/>
    <w:basedOn w:val="5"/>
    <w:link w:val="2"/>
    <w:semiHidden/>
    <w:uiPriority w:val="99"/>
    <w:rPr>
      <w:rFonts w:ascii="Times New Roman" w:hAnsi="Times New Roman" w:eastAsia="宋体" w:cs="黑体"/>
      <w:sz w:val="18"/>
      <w:szCs w:val="18"/>
    </w:rPr>
  </w:style>
  <w:style w:type="paragraph" w:customStyle="1" w:styleId="8">
    <w:name w:val="Item List in Table"/>
    <w:basedOn w:val="1"/>
    <w:qFormat/>
    <w:uiPriority w:val="0"/>
    <w:pPr>
      <w:widowControl/>
      <w:numPr>
        <w:ilvl w:val="0"/>
        <w:numId w:val="1"/>
      </w:numPr>
      <w:topLinePunct/>
      <w:adjustRightInd w:val="0"/>
      <w:snapToGrid w:val="0"/>
      <w:spacing w:before="80" w:after="80" w:line="240" w:lineRule="atLeast"/>
      <w:jc w:val="left"/>
    </w:pPr>
    <w:rPr>
      <w:rFonts w:hint="eastAsia" w:cs="Arial"/>
      <w:kern w:val="0"/>
      <w:szCs w:val="21"/>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中国微软</Company>
  <Pages>5</Pages>
  <Words>498</Words>
  <Characters>2844</Characters>
  <Lines>23</Lines>
  <Paragraphs>6</Paragraphs>
  <TotalTime>2</TotalTime>
  <ScaleCrop>false</ScaleCrop>
  <LinksUpToDate>false</LinksUpToDate>
  <CharactersWithSpaces>3336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2021-12-08T03:09:00Z</dcterms:created>
  <dc:creator>微软中国</dc:creator>
  <cp:lastModifiedBy>Administrator</cp:lastModifiedBy>
  <dcterms:modified xsi:type="dcterms:W3CDTF">2022-10-26T06:27:27Z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A8C16472379D4E6AB33CBA575716F252</vt:lpwstr>
  </property>
</Properties>
</file>