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22" w:rsidRDefault="00685E22" w:rsidP="00685E22">
      <w:pPr>
        <w:spacing w:line="440" w:lineRule="exact"/>
        <w:ind w:firstLineChars="250" w:firstLine="803"/>
        <w:rPr>
          <w:rFonts w:ascii="黑体" w:eastAsia="黑体" w:hAnsi="黑体" w:hint="eastAsia"/>
          <w:b/>
          <w:bCs/>
          <w:sz w:val="32"/>
          <w:szCs w:val="32"/>
        </w:rPr>
      </w:pPr>
      <w:bookmarkStart w:id="0" w:name="_Toc438197197"/>
      <w:bookmarkStart w:id="1" w:name="_Toc440219229"/>
      <w:r>
        <w:rPr>
          <w:rFonts w:ascii="黑体" w:eastAsia="黑体" w:hAnsi="黑体" w:hint="eastAsia"/>
          <w:b/>
          <w:bCs/>
          <w:sz w:val="32"/>
          <w:szCs w:val="32"/>
        </w:rPr>
        <w:t>一、学院基本情况</w:t>
      </w:r>
    </w:p>
    <w:p w:rsidR="00685E22" w:rsidRDefault="00685E22" w:rsidP="00685E22">
      <w:pPr>
        <w:spacing w:line="560" w:lineRule="exact"/>
        <w:ind w:firstLine="480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（一）坚守立德树人根本，指导思想清晰明确</w:t>
      </w:r>
    </w:p>
    <w:p w:rsidR="00685E22" w:rsidRDefault="00685E22" w:rsidP="00685E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贯彻党的教育方针，深化教育教学改革，大力实施“质量立校、人才强校、文化塑校和特色兴校”战略，立足“创新强校工程”建设规划基础，坚持以人才培养为根本，以教学工作为中心，以专业建设为龙头，以教研科研为支撑，以师资建设为基础，坚定不移地走内涵式发展道路；坚持以立德树人为根本，以服务发展为宗旨，以促进创业就业为导向，适应经济新常态和技术技能人才成长成才需要，完善产教融合、协同育人机制，创新人才培养模式，全面提高人才培养质量，不断增强核心竞争力，为区域经济发展提供高素质、高技术、高技能、应用型专门人才和多样化社会服务。</w:t>
      </w:r>
    </w:p>
    <w:p w:rsidR="00685E22" w:rsidRDefault="00685E22" w:rsidP="00685E22">
      <w:pPr>
        <w:spacing w:line="560" w:lineRule="exact"/>
        <w:ind w:firstLine="480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（二）立足区域市场需求，明确职校办学定位</w:t>
      </w:r>
    </w:p>
    <w:p w:rsidR="00685E22" w:rsidRDefault="00685E22" w:rsidP="00685E22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立足汕头、辐射粤东，以理、工、经、管、艺等多专业协调发展的全日制高等职业教育为主，学历教育、继续教育和职业技能培训相结合，通过进一步优化资源配置和创新管理体制，形成较为成熟和规范的高职教育模式，把学院建设成为区域性高职教育省内一流，部分领域国内领先，具有国际视野，特色鲜明，社会高度认可的综合性高职院校，为创新型经济特区、东南沿海重要港口城市和粤东中心城市的传统优势产业、先进制造业、战略性新兴产业及现代服务业培养满足职业岗位需求的，面向生产、建设、服务和管理一线的技术技能人才和技术服务支持。</w:t>
      </w:r>
    </w:p>
    <w:p w:rsidR="00685E22" w:rsidRDefault="00685E22" w:rsidP="00685E22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bookmarkEnd w:id="0"/>
    <w:bookmarkEnd w:id="1"/>
    <w:p w:rsidR="00685E22" w:rsidRDefault="00685E22" w:rsidP="00685E22">
      <w:pPr>
        <w:numPr>
          <w:ilvl w:val="0"/>
          <w:numId w:val="1"/>
        </w:numPr>
        <w:spacing w:line="560" w:lineRule="exact"/>
        <w:ind w:firstLine="480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专业设置类别齐全，办学基础坚实深厚</w:t>
      </w:r>
    </w:p>
    <w:p w:rsidR="00685E22" w:rsidRDefault="00685E22" w:rsidP="00685E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汕头职业技术学院（以下简称“学院”）是2002年3月经广东省人民政府批准而设立的公立全日制普通高等职业学校。学院以高职教育和职业培训为主体，办学基础坚实，人文底蕴深厚，致力于为国家和地方经济社会建设提供重要的人才、智力和科技支撑。</w:t>
      </w:r>
    </w:p>
    <w:p w:rsidR="00685E22" w:rsidRDefault="00685E22" w:rsidP="00685E22">
      <w:pPr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由院本部、金园校区、新津校区和东墩校区四个校区组成，占地632亩（另有规划用地约450亩），学院总建筑面积26.1万平方米，图书藏量56.31万册；设有计算机系、机电工程系、经济管理系、自然科学系、人文社科系、外语系、艺术体育系、学前教育系、思想政治理论课教学部、心理教育教学部、成人教育部、现代教育技术中心、图书馆、技能实训中心等14个教学、教辅部门。</w:t>
      </w:r>
    </w:p>
    <w:p w:rsidR="00685E22" w:rsidRDefault="00685E22" w:rsidP="00685E22">
      <w:pPr>
        <w:spacing w:line="560" w:lineRule="exact"/>
        <w:ind w:firstLine="480"/>
        <w:rPr>
          <w:rFonts w:ascii="宋体" w:hAnsi="宋体" w:cs="宋体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（四）重视内涵质量建设，办学</w:t>
      </w:r>
      <w:r>
        <w:rPr>
          <w:rFonts w:ascii="楷体" w:eastAsia="楷体" w:hAnsi="楷体" w:hint="eastAsia"/>
          <w:b/>
          <w:bCs/>
          <w:sz w:val="32"/>
          <w:szCs w:val="32"/>
        </w:rPr>
        <w:t xml:space="preserve">规模趋稳定   </w:t>
      </w:r>
      <w:r>
        <w:rPr>
          <w:rFonts w:ascii="宋体" w:hAnsi="宋体" w:cs="宋体" w:hint="eastAsia"/>
          <w:sz w:val="32"/>
          <w:szCs w:val="32"/>
        </w:rPr>
        <w:t xml:space="preserve">     </w:t>
      </w:r>
    </w:p>
    <w:p w:rsidR="00685E22" w:rsidRDefault="00685E22" w:rsidP="00685E2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年来，学院紧抓振兴粤东西北地区发展战略、汕头华侨经济文化合作试验区建设及21世纪海上丝绸之路建设等重大决策机遇，以“协同创新”为引领，以“创新强校工程”为依托，围绕“坚持依法治校，规范管理，提升执行力；建设和谐校园，营造良好的校园文化环境；加强内涵建设，全面提高教学质量；服务地方经济建设，提升学院的社会认可度”四方面工作主题，以引入国际质量管理体系ISO9001建设为抓手，坚持开门办学，走校企合作、工学结合之路，发展规模和办学质量趋于稳定。</w:t>
      </w:r>
      <w:bookmarkStart w:id="2" w:name="_Toc375725151"/>
      <w:bookmarkStart w:id="3" w:name="_Toc438197199"/>
      <w:bookmarkStart w:id="4" w:name="_Toc440219231"/>
      <w:bookmarkStart w:id="5" w:name="_Toc375725145"/>
      <w:r>
        <w:rPr>
          <w:rFonts w:ascii="仿宋_GB2312" w:eastAsia="仿宋_GB2312" w:hint="eastAsia"/>
          <w:sz w:val="32"/>
          <w:szCs w:val="32"/>
        </w:rPr>
        <w:t>学院2017年全日制大专招生专业（不含方向）数为46个，全日制在校大专学生10159人，生源地分布于6个省（区），生源地仍然集中在粤东、</w:t>
      </w:r>
      <w:r>
        <w:rPr>
          <w:rFonts w:ascii="仿宋_GB2312" w:eastAsia="仿宋_GB2312" w:hint="eastAsia"/>
          <w:sz w:val="32"/>
          <w:szCs w:val="32"/>
        </w:rPr>
        <w:lastRenderedPageBreak/>
        <w:t>粤西地区。高中生与三校生在在校生总数所占比例为</w:t>
      </w:r>
      <w:r>
        <w:rPr>
          <w:rFonts w:ascii="仿宋_GB2312" w:eastAsia="仿宋_GB2312"/>
          <w:sz w:val="32"/>
          <w:szCs w:val="32"/>
        </w:rPr>
        <w:t>88.63%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1.79%</w:t>
      </w:r>
      <w:r>
        <w:rPr>
          <w:rFonts w:ascii="仿宋_GB2312" w:eastAsia="仿宋_GB2312" w:hint="eastAsia"/>
          <w:sz w:val="32"/>
          <w:szCs w:val="32"/>
        </w:rPr>
        <w:t>。现有在岗教职工728人，其中专任教师501人，具有博士及硕士学位者280人，具有高级专业技术职称者133人，同时还聘请一批实践经验丰富的专家、高中级工程师为兼职教师。近三年毕业生就业率均达到97%以上。</w:t>
      </w:r>
    </w:p>
    <w:p w:rsidR="00685E22" w:rsidRDefault="00685E22" w:rsidP="00685E22">
      <w:pPr>
        <w:spacing w:line="560" w:lineRule="exact"/>
        <w:ind w:firstLine="480"/>
        <w:rPr>
          <w:rFonts w:ascii="宋体" w:hAnsi="宋体" w:cs="宋体" w:hint="eastAsia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 xml:space="preserve">（五）着眼一校两区布局，加大资源整合力度   </w:t>
      </w:r>
      <w:r>
        <w:rPr>
          <w:rFonts w:ascii="宋体" w:hAnsi="宋体" w:cs="宋体" w:hint="eastAsia"/>
          <w:sz w:val="32"/>
          <w:szCs w:val="32"/>
        </w:rPr>
        <w:t xml:space="preserve">    </w:t>
      </w:r>
    </w:p>
    <w:p w:rsidR="00685E22" w:rsidRDefault="00685E22" w:rsidP="00685E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6" w:name="_Toc378672855"/>
      <w:bookmarkStart w:id="7" w:name="_Toc380005785"/>
      <w:bookmarkEnd w:id="2"/>
      <w:bookmarkEnd w:id="3"/>
      <w:bookmarkEnd w:id="4"/>
      <w:bookmarkEnd w:id="5"/>
      <w:r>
        <w:rPr>
          <w:rFonts w:ascii="仿宋_GB2312" w:eastAsia="仿宋_GB2312" w:hint="eastAsia"/>
          <w:sz w:val="32"/>
          <w:szCs w:val="32"/>
        </w:rPr>
        <w:t>为进一步提高学院办学质量，更好适应和服务地方经济发展，学院以优化资源配置为着力点，按照打造“一校两区”的工作思路，从人员、机构、设施等方面整合学院资源，同时，加大教学设备的购置与维护投入，学院的办学条件和办学环境得到明显改善。</w:t>
      </w:r>
      <w:bookmarkEnd w:id="6"/>
      <w:bookmarkEnd w:id="7"/>
      <w:r>
        <w:rPr>
          <w:rFonts w:ascii="仿宋_GB2312" w:eastAsia="仿宋_GB2312" w:hint="eastAsia"/>
          <w:sz w:val="32"/>
          <w:szCs w:val="32"/>
        </w:rPr>
        <w:t>学院占地</w:t>
      </w:r>
      <w:r>
        <w:rPr>
          <w:rFonts w:ascii="仿宋_GB2312" w:eastAsia="仿宋_GB2312"/>
          <w:sz w:val="32"/>
          <w:szCs w:val="32"/>
        </w:rPr>
        <w:t>632.45</w:t>
      </w:r>
      <w:r>
        <w:rPr>
          <w:rFonts w:ascii="仿宋_GB2312" w:eastAsia="仿宋_GB2312" w:hint="eastAsia"/>
          <w:sz w:val="32"/>
          <w:szCs w:val="32"/>
        </w:rPr>
        <w:t>亩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其中，学院本部占地</w:t>
      </w:r>
      <w:r>
        <w:rPr>
          <w:rFonts w:ascii="仿宋_GB2312" w:eastAsia="仿宋_GB2312"/>
          <w:sz w:val="32"/>
          <w:szCs w:val="32"/>
        </w:rPr>
        <w:t>436.39</w:t>
      </w:r>
      <w:r>
        <w:rPr>
          <w:rFonts w:ascii="仿宋_GB2312" w:eastAsia="仿宋_GB2312" w:hint="eastAsia"/>
          <w:sz w:val="32"/>
          <w:szCs w:val="32"/>
        </w:rPr>
        <w:t>亩，金园校区占地</w:t>
      </w:r>
      <w:r>
        <w:rPr>
          <w:rFonts w:ascii="仿宋_GB2312" w:eastAsia="仿宋_GB2312"/>
          <w:sz w:val="32"/>
          <w:szCs w:val="32"/>
        </w:rPr>
        <w:t>56.14</w:t>
      </w:r>
      <w:r>
        <w:rPr>
          <w:rFonts w:ascii="仿宋_GB2312" w:eastAsia="仿宋_GB2312" w:hint="eastAsia"/>
          <w:sz w:val="32"/>
          <w:szCs w:val="32"/>
        </w:rPr>
        <w:t>亩，新津校区占地</w:t>
      </w:r>
      <w:r>
        <w:rPr>
          <w:rFonts w:ascii="仿宋_GB2312" w:eastAsia="仿宋_GB2312"/>
          <w:sz w:val="32"/>
          <w:szCs w:val="32"/>
        </w:rPr>
        <w:t>115.01</w:t>
      </w:r>
      <w:r>
        <w:rPr>
          <w:rFonts w:ascii="仿宋_GB2312" w:eastAsia="仿宋_GB2312" w:hint="eastAsia"/>
          <w:sz w:val="32"/>
          <w:szCs w:val="32"/>
        </w:rPr>
        <w:t>亩，东墩校区占地</w:t>
      </w:r>
      <w:r>
        <w:rPr>
          <w:rFonts w:ascii="仿宋_GB2312" w:eastAsia="仿宋_GB2312"/>
          <w:sz w:val="32"/>
          <w:szCs w:val="32"/>
        </w:rPr>
        <w:t>24.91</w:t>
      </w:r>
      <w:r>
        <w:rPr>
          <w:rFonts w:ascii="仿宋_GB2312" w:eastAsia="仿宋_GB2312" w:hint="eastAsia"/>
          <w:sz w:val="32"/>
          <w:szCs w:val="32"/>
        </w:rPr>
        <w:t>亩（详见表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）。学院总建筑面积</w:t>
      </w:r>
      <w:r>
        <w:rPr>
          <w:rFonts w:ascii="仿宋_GB2312" w:eastAsia="仿宋_GB2312"/>
          <w:sz w:val="32"/>
          <w:szCs w:val="32"/>
        </w:rPr>
        <w:t>260875.98</w:t>
      </w:r>
      <w:r>
        <w:rPr>
          <w:rFonts w:ascii="仿宋_GB2312" w:eastAsia="仿宋_GB2312" w:hint="eastAsia"/>
          <w:sz w:val="32"/>
          <w:szCs w:val="32"/>
        </w:rPr>
        <w:t>平方米，其中，教学科研及辅助用房</w:t>
      </w:r>
      <w:r>
        <w:rPr>
          <w:rFonts w:ascii="仿宋_GB2312" w:eastAsia="仿宋_GB2312"/>
          <w:sz w:val="32"/>
          <w:szCs w:val="32"/>
        </w:rPr>
        <w:t>156334.55</w:t>
      </w:r>
      <w:r>
        <w:rPr>
          <w:rFonts w:ascii="仿宋_GB2312" w:eastAsia="仿宋_GB2312" w:hint="eastAsia"/>
          <w:sz w:val="32"/>
          <w:szCs w:val="32"/>
        </w:rPr>
        <w:t>平方米，教学行政用房</w:t>
      </w:r>
      <w:r>
        <w:rPr>
          <w:rFonts w:ascii="仿宋_GB2312" w:eastAsia="仿宋_GB2312"/>
          <w:sz w:val="32"/>
          <w:szCs w:val="32"/>
        </w:rPr>
        <w:t>11003.87</w:t>
      </w:r>
      <w:r>
        <w:rPr>
          <w:rFonts w:ascii="仿宋_GB2312" w:eastAsia="仿宋_GB2312" w:hint="eastAsia"/>
          <w:sz w:val="32"/>
          <w:szCs w:val="32"/>
        </w:rPr>
        <w:t>平方米，学生宿舍用房</w:t>
      </w:r>
      <w:r>
        <w:rPr>
          <w:rFonts w:ascii="仿宋_GB2312" w:eastAsia="仿宋_GB2312"/>
          <w:sz w:val="32"/>
          <w:szCs w:val="32"/>
        </w:rPr>
        <w:t>71678</w:t>
      </w:r>
      <w:r>
        <w:rPr>
          <w:rFonts w:ascii="仿宋_GB2312" w:eastAsia="仿宋_GB2312" w:hint="eastAsia"/>
          <w:sz w:val="32"/>
          <w:szCs w:val="32"/>
        </w:rPr>
        <w:t>平方米（详见附表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685E22" w:rsidRDefault="00685E22" w:rsidP="00685E22">
      <w:pPr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学院占地面积统计表</w:t>
      </w:r>
    </w:p>
    <w:tbl>
      <w:tblPr>
        <w:tblW w:w="0" w:type="auto"/>
        <w:jc w:val="center"/>
        <w:tblLayout w:type="fixed"/>
        <w:tblLook w:val="0000"/>
      </w:tblPr>
      <w:tblGrid>
        <w:gridCol w:w="2057"/>
        <w:gridCol w:w="2977"/>
        <w:gridCol w:w="2374"/>
        <w:gridCol w:w="1473"/>
      </w:tblGrid>
      <w:tr w:rsidR="00685E22" w:rsidTr="005A6D6B">
        <w:trPr>
          <w:trHeight w:val="39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序</w:t>
            </w: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校区名称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面积</w:t>
            </w: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平方米</w:t>
            </w: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面积</w:t>
            </w: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亩</w:t>
            </w: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)</w:t>
            </w:r>
          </w:p>
        </w:tc>
      </w:tr>
      <w:tr w:rsidR="00685E22" w:rsidTr="005A6D6B">
        <w:trPr>
          <w:trHeight w:val="39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院本部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290926.2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436.39</w:t>
            </w:r>
          </w:p>
        </w:tc>
      </w:tr>
      <w:tr w:rsidR="00685E22" w:rsidTr="005A6D6B">
        <w:trPr>
          <w:trHeight w:val="39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金园校区（教育学院）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21753.5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32.63</w:t>
            </w:r>
          </w:p>
        </w:tc>
      </w:tr>
      <w:tr w:rsidR="00685E22" w:rsidTr="005A6D6B">
        <w:trPr>
          <w:trHeight w:val="39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金园校区（幼师）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15675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23.51</w:t>
            </w:r>
          </w:p>
        </w:tc>
      </w:tr>
      <w:tr w:rsidR="00685E22" w:rsidTr="005A6D6B">
        <w:trPr>
          <w:trHeight w:val="39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东墩校区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16604.04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24.91</w:t>
            </w:r>
          </w:p>
        </w:tc>
      </w:tr>
      <w:tr w:rsidR="00685E22" w:rsidTr="005A6D6B">
        <w:trPr>
          <w:trHeight w:val="39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新津校区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76672.6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115.01</w:t>
            </w:r>
          </w:p>
        </w:tc>
      </w:tr>
      <w:tr w:rsidR="00685E22" w:rsidTr="005A6D6B">
        <w:trPr>
          <w:trHeight w:val="395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>小计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421631.34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right"/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80"/>
                <w:kern w:val="0"/>
                <w:sz w:val="22"/>
                <w:szCs w:val="22"/>
              </w:rPr>
              <w:t>632.45</w:t>
            </w:r>
          </w:p>
        </w:tc>
      </w:tr>
    </w:tbl>
    <w:p w:rsidR="00685E22" w:rsidRDefault="00685E22" w:rsidP="00685E22">
      <w:pPr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学院建筑面积统计表</w:t>
      </w:r>
    </w:p>
    <w:p w:rsidR="00685E22" w:rsidRDefault="00685E22" w:rsidP="00685E22">
      <w:pPr>
        <w:widowControl/>
        <w:jc w:val="center"/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kern w:val="0"/>
          <w:sz w:val="20"/>
        </w:rPr>
        <w:lastRenderedPageBreak/>
        <w:t xml:space="preserve">                                                                                单位：㎡</w:t>
      </w:r>
      <w:r>
        <w:rPr>
          <w:rFonts w:ascii="宋体" w:hAnsi="宋体" w:cs="宋体"/>
          <w:kern w:val="0"/>
          <w:sz w:val="20"/>
        </w:rPr>
        <w:t xml:space="preserve">  </w:t>
      </w:r>
    </w:p>
    <w:tbl>
      <w:tblPr>
        <w:tblW w:w="0" w:type="auto"/>
        <w:jc w:val="center"/>
        <w:tblLayout w:type="fixed"/>
        <w:tblLook w:val="0000"/>
      </w:tblPr>
      <w:tblGrid>
        <w:gridCol w:w="1731"/>
        <w:gridCol w:w="1335"/>
        <w:gridCol w:w="1049"/>
        <w:gridCol w:w="1016"/>
        <w:gridCol w:w="1016"/>
        <w:gridCol w:w="1116"/>
        <w:gridCol w:w="1116"/>
        <w:gridCol w:w="952"/>
      </w:tblGrid>
      <w:tr w:rsidR="00685E22" w:rsidTr="005A6D6B">
        <w:trPr>
          <w:trHeight w:val="292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类型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用途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东墩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金园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新津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院本部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总计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生均面积</w:t>
            </w:r>
          </w:p>
        </w:tc>
      </w:tr>
      <w:tr w:rsidR="00685E22" w:rsidTr="005A6D6B">
        <w:trPr>
          <w:trHeight w:val="356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教学科研及辅助用房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.教室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7454.86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19451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4268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24528.11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55701.97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5.16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.图书馆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472.62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2340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16053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19465.62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1.80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.实训场所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4219.97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6514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1308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61221.62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73263.59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6.78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5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.室内馆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1539.3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1995.07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3534.37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0.33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6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.会堂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3624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4369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0.40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教学科研及辅助用房</w:t>
            </w: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汇总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12147.45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29844.3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6921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107421.8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156334.55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14.47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生活用房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left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10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.教工食堂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420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920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0.09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left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11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.附属用房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346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2822.65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134.94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2735.86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6039.45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0.56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left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7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.学生宿舍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5148.4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11983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6617.41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47929.19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71678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6.63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left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8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.学生食堂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731.18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1465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1207.4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8008.23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11411.81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1.06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left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9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.教工宿舍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3362.3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3488.3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0.32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生活用房</w:t>
            </w: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汇总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6225.58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16690.65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8085.75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62535.58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93537.56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8.66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行政办公用房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.行政用房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645.28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2978.7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7199.89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11003.87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1.02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行政办公用房</w:t>
            </w: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汇总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645.28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2978.7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7199.89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11003.87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1.02 </w:t>
            </w:r>
          </w:p>
        </w:tc>
      </w:tr>
      <w:tr w:rsidR="00685E22" w:rsidTr="005A6D6B">
        <w:trPr>
          <w:trHeight w:val="292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>总计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80"/>
                <w:kern w:val="0"/>
                <w:sz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19018.31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49513.65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15186.75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177157.27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>260875.98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E22" w:rsidRDefault="00685E22" w:rsidP="005A6D6B">
            <w:pPr>
              <w:widowControl/>
              <w:jc w:val="center"/>
              <w:rPr>
                <w:rFonts w:ascii="宋体" w:cs="宋体"/>
                <w:color w:val="000080"/>
                <w:kern w:val="0"/>
                <w:sz w:val="20"/>
              </w:rPr>
            </w:pPr>
            <w:r>
              <w:rPr>
                <w:rFonts w:ascii="宋体" w:hAnsi="宋体" w:cs="宋体"/>
                <w:color w:val="000080"/>
                <w:kern w:val="0"/>
                <w:sz w:val="20"/>
              </w:rPr>
              <w:t xml:space="preserve">24.15 </w:t>
            </w:r>
          </w:p>
        </w:tc>
      </w:tr>
    </w:tbl>
    <w:p w:rsidR="00685E22" w:rsidRDefault="00685E22" w:rsidP="00685E2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学年，学院办学经费总支出为12,125.86万元，其中用于教学经费支出2,498.16万元，占总支出的20.6%，包括教学基础设施建设417.49万元、设备采购924.05万元(其中教学仪器设备采购796.94万元)、日常教学经费支出832.43万元、教学改革及研究123.17万元、校内实践基地设备总值</w:t>
      </w:r>
      <w:r>
        <w:rPr>
          <w:rFonts w:ascii="仿宋_GB2312" w:eastAsia="仿宋_GB2312"/>
          <w:sz w:val="32"/>
          <w:szCs w:val="32"/>
        </w:rPr>
        <w:t>4519.79</w:t>
      </w:r>
      <w:r>
        <w:rPr>
          <w:rFonts w:ascii="仿宋_GB2312" w:eastAsia="仿宋_GB2312" w:hint="eastAsia"/>
          <w:sz w:val="32"/>
          <w:szCs w:val="32"/>
        </w:rPr>
        <w:t>万元，校内实践基地当年新增设备值</w:t>
      </w:r>
      <w:r>
        <w:rPr>
          <w:rFonts w:ascii="仿宋_GB2312" w:eastAsia="仿宋_GB2312"/>
          <w:sz w:val="32"/>
          <w:szCs w:val="32"/>
        </w:rPr>
        <w:t>435.06</w:t>
      </w:r>
      <w:r>
        <w:rPr>
          <w:rFonts w:ascii="仿宋_GB2312" w:eastAsia="仿宋_GB2312" w:hint="eastAsia"/>
          <w:sz w:val="32"/>
          <w:szCs w:val="32"/>
        </w:rPr>
        <w:t>万元。师资建设经费支出143.22万元、图书购置支出57.8万元。</w:t>
      </w:r>
    </w:p>
    <w:p w:rsidR="00685E22" w:rsidRDefault="00685E22" w:rsidP="00685E22">
      <w:pPr>
        <w:spacing w:line="560" w:lineRule="exact"/>
        <w:ind w:firstLine="480"/>
        <w:rPr>
          <w:rFonts w:ascii="楷体" w:eastAsia="楷体" w:hAnsi="楷体" w:hint="eastAsia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 xml:space="preserve">（六）引入现代管理手段，构建质量管理体系        </w:t>
      </w:r>
    </w:p>
    <w:p w:rsidR="00685E22" w:rsidRDefault="00685E22" w:rsidP="00685E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8" w:name="_Toc438197201"/>
      <w:bookmarkStart w:id="9" w:name="_Toc440219233"/>
      <w:r>
        <w:rPr>
          <w:rFonts w:ascii="仿宋_GB2312" w:eastAsia="仿宋_GB2312" w:hint="eastAsia"/>
          <w:sz w:val="32"/>
          <w:szCs w:val="32"/>
        </w:rPr>
        <w:t>近年来，学院坚持</w:t>
      </w:r>
      <w:r>
        <w:rPr>
          <w:rFonts w:ascii="仿宋_GB2312" w:eastAsia="仿宋_GB2312"/>
          <w:sz w:val="32"/>
          <w:szCs w:val="32"/>
        </w:rPr>
        <w:t>推进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依法治校，规范管理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工作，</w:t>
      </w:r>
      <w:r>
        <w:rPr>
          <w:rFonts w:ascii="仿宋_GB2312" w:eastAsia="仿宋_GB2312" w:hint="eastAsia"/>
          <w:sz w:val="32"/>
          <w:szCs w:val="32"/>
        </w:rPr>
        <w:t>扎实</w:t>
      </w:r>
      <w:r>
        <w:rPr>
          <w:rFonts w:ascii="仿宋_GB2312" w:eastAsia="仿宋_GB2312"/>
          <w:sz w:val="32"/>
          <w:szCs w:val="32"/>
        </w:rPr>
        <w:t>推进</w:t>
      </w:r>
      <w:r>
        <w:rPr>
          <w:rFonts w:ascii="仿宋_GB2312" w:eastAsia="仿宋_GB2312" w:hint="eastAsia"/>
          <w:sz w:val="32"/>
          <w:szCs w:val="32"/>
        </w:rPr>
        <w:t>基于</w:t>
      </w:r>
      <w:r>
        <w:rPr>
          <w:rFonts w:ascii="仿宋_GB2312" w:eastAsia="仿宋_GB2312"/>
          <w:sz w:val="32"/>
          <w:szCs w:val="32"/>
        </w:rPr>
        <w:t>ISO9001</w:t>
      </w:r>
      <w:r>
        <w:rPr>
          <w:rFonts w:ascii="仿宋_GB2312" w:eastAsia="仿宋_GB2312" w:hint="eastAsia"/>
          <w:sz w:val="32"/>
          <w:szCs w:val="32"/>
        </w:rPr>
        <w:t>基础上的</w:t>
      </w:r>
      <w:r>
        <w:rPr>
          <w:rFonts w:ascii="仿宋_GB2312" w:eastAsia="仿宋_GB2312"/>
          <w:sz w:val="32"/>
          <w:szCs w:val="32"/>
        </w:rPr>
        <w:t>质量管理体系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，深化内部机构改革工作，探索二级管理体系，构建起责、权、利相统</w:t>
      </w:r>
      <w:r>
        <w:rPr>
          <w:rFonts w:ascii="仿宋_GB2312" w:eastAsia="仿宋_GB2312"/>
          <w:sz w:val="32"/>
          <w:szCs w:val="32"/>
        </w:rPr>
        <w:lastRenderedPageBreak/>
        <w:t>一管理运行机制，进一步完善各项内部管理规章制度，为教学、管理、发展和提高学院的育人水平，提供科学、规范的制度保障。</w:t>
      </w:r>
    </w:p>
    <w:p w:rsidR="00685E22" w:rsidRDefault="00685E22" w:rsidP="00685E22">
      <w:pPr>
        <w:spacing w:line="600" w:lineRule="exact"/>
        <w:ind w:firstLineChars="200" w:firstLine="640"/>
        <w:rPr>
          <w:rFonts w:ascii="楷体" w:eastAsia="楷体" w:hAnsi="楷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案例1：</w:t>
      </w:r>
      <w:r>
        <w:rPr>
          <w:rFonts w:ascii="楷体" w:eastAsia="楷体" w:hAnsi="楷体" w:cs="宋体" w:hint="eastAsia"/>
          <w:sz w:val="32"/>
          <w:szCs w:val="32"/>
        </w:rPr>
        <w:t>积极构建基于</w:t>
      </w:r>
      <w:r>
        <w:rPr>
          <w:rFonts w:ascii="楷体" w:eastAsia="楷体" w:hAnsi="楷体" w:cs="宋体"/>
          <w:sz w:val="32"/>
          <w:szCs w:val="32"/>
        </w:rPr>
        <w:t>ISO9001</w:t>
      </w:r>
      <w:r>
        <w:rPr>
          <w:rFonts w:ascii="楷体" w:eastAsia="楷体" w:hAnsi="楷体" w:cs="宋体" w:hint="eastAsia"/>
          <w:sz w:val="32"/>
          <w:szCs w:val="32"/>
        </w:rPr>
        <w:t>：</w:t>
      </w:r>
      <w:r>
        <w:rPr>
          <w:rFonts w:ascii="楷体" w:eastAsia="楷体" w:hAnsi="楷体" w:cs="宋体"/>
          <w:sz w:val="32"/>
          <w:szCs w:val="32"/>
        </w:rPr>
        <w:t>2015</w:t>
      </w:r>
      <w:r>
        <w:rPr>
          <w:rFonts w:ascii="楷体" w:eastAsia="楷体" w:hAnsi="楷体" w:cs="宋体" w:hint="eastAsia"/>
          <w:sz w:val="32"/>
          <w:szCs w:val="32"/>
        </w:rPr>
        <w:t>标准的质量管理体系</w:t>
      </w:r>
    </w:p>
    <w:p w:rsidR="00685E22" w:rsidRDefault="00685E22" w:rsidP="00685E22">
      <w:pPr>
        <w:spacing w:line="60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2183765</wp:posOffset>
            </wp:positionV>
            <wp:extent cx="3289935" cy="5102860"/>
            <wp:effectExtent l="0" t="0" r="0" b="0"/>
            <wp:wrapNone/>
            <wp:docPr id="3" name="图片 1" descr="ISO认证证书（英文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SO认证证书（英文版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510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2169795</wp:posOffset>
            </wp:positionV>
            <wp:extent cx="3350895" cy="5086350"/>
            <wp:effectExtent l="0" t="0" r="1905" b="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w:t>2016年11月26日，经国际认证机构莱茵TUV公司审核委员会评审通过，汕头职业技术学院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学生管理与服务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ISO9001国际质量管理体系建设项目取得国际认证证书。构建起了基于国际质量ISO9001管理体系PDCA循环管理思想，体现过程控制和持续改进理念的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学生教育管理与服务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管理质量标准，形成了汕职院行政管理特色。</w:t>
      </w:r>
    </w:p>
    <w:p w:rsidR="00685E22" w:rsidRDefault="00685E22" w:rsidP="00685E22">
      <w:pPr>
        <w:spacing w:line="600" w:lineRule="exact"/>
        <w:ind w:firstLineChars="200" w:firstLine="640"/>
        <w:rPr>
          <w:rFonts w:ascii="??_GB2312" w:eastAsia="Times New Roman" w:hAnsi="宋体" w:cs="宋体"/>
          <w:color w:val="3366FF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??_GB2312" w:eastAsia="Times New Roman" w:hAnsi="宋体" w:cs="宋体"/>
          <w:color w:val="3366FF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??_GB2312" w:eastAsia="Times New Roman" w:hAnsi="宋体" w:cs="宋体"/>
          <w:color w:val="3366FF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??_GB2312" w:hAnsi="宋体" w:cs="宋体" w:hint="eastAsia"/>
          <w:color w:val="3366FF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??_GB2312" w:hAnsi="宋体" w:cs="宋体" w:hint="eastAsia"/>
          <w:color w:val="3366FF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??_GB2312" w:hAnsi="宋体" w:cs="宋体" w:hint="eastAsia"/>
          <w:color w:val="3366FF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??_GB2312" w:hAnsi="宋体" w:cs="宋体" w:hint="eastAsia"/>
          <w:color w:val="3366FF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??_GB2312" w:hAnsi="宋体" w:cs="宋体" w:hint="eastAsia"/>
          <w:color w:val="3366FF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??_GB2312" w:hAnsi="宋体" w:cs="宋体" w:hint="eastAsia"/>
          <w:color w:val="3366FF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??_GB2312" w:hAnsi="宋体" w:cs="宋体" w:hint="eastAsia"/>
          <w:color w:val="3366FF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??_GB2312" w:hAnsi="宋体" w:cs="宋体" w:hint="eastAsia"/>
          <w:color w:val="3366FF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5E22" w:rsidRDefault="00685E22" w:rsidP="00685E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2017年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月以来，</w:t>
      </w: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/>
          <w:sz w:val="32"/>
          <w:szCs w:val="32"/>
        </w:rPr>
        <w:t>院正式启动第二批</w:t>
      </w:r>
      <w:r>
        <w:rPr>
          <w:rFonts w:ascii="仿宋_GB2312" w:eastAsia="仿宋_GB2312" w:hint="eastAsia"/>
          <w:sz w:val="32"/>
          <w:szCs w:val="32"/>
        </w:rPr>
        <w:t>基于</w:t>
      </w:r>
      <w:r>
        <w:rPr>
          <w:rFonts w:ascii="仿宋_GB2312" w:eastAsia="仿宋_GB2312"/>
          <w:sz w:val="32"/>
          <w:szCs w:val="32"/>
        </w:rPr>
        <w:t>ISO9001：2015标准</w:t>
      </w:r>
      <w:r>
        <w:rPr>
          <w:rFonts w:ascii="仿宋_GB2312" w:eastAsia="仿宋_GB2312" w:hint="eastAsia"/>
          <w:sz w:val="32"/>
          <w:szCs w:val="32"/>
        </w:rPr>
        <w:t>“教学管理服务”质量管理体系，目前已经完成首批转版及“教学管理服务”项目</w:t>
      </w:r>
      <w:r>
        <w:rPr>
          <w:rFonts w:ascii="仿宋_GB2312" w:eastAsia="仿宋_GB2312"/>
          <w:sz w:val="32"/>
          <w:szCs w:val="32"/>
        </w:rPr>
        <w:t>ISO9001：2015版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认证审核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。</w:t>
      </w:r>
    </w:p>
    <w:bookmarkEnd w:id="8"/>
    <w:bookmarkEnd w:id="9"/>
    <w:p w:rsidR="00685E22" w:rsidRDefault="00685E22" w:rsidP="00685E22">
      <w:pPr>
        <w:spacing w:line="60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（七）创新强校引领发展，创省级示范性院校</w:t>
      </w:r>
    </w:p>
    <w:p w:rsidR="00685E22" w:rsidRDefault="00685E22" w:rsidP="00685E2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根据学院提升办学水平的远景需要及</w:t>
      </w:r>
      <w:r>
        <w:rPr>
          <w:rFonts w:ascii="仿宋_GB2312" w:eastAsia="仿宋_GB2312" w:hint="eastAsia"/>
          <w:sz w:val="32"/>
          <w:szCs w:val="32"/>
        </w:rPr>
        <w:t>汕头市第十一次党代会决议提出的“要把我院建成省级示范性高职院校”的目标要求，学院十三五规划确定了力争创建省示范性高职院校的目标。对照省级示范性高职院校建设标准，学院成立了学院省级示范性高职院校建设工作领导小组，启动了相关建设工作。</w:t>
      </w:r>
    </w:p>
    <w:p w:rsidR="00685E22" w:rsidRDefault="00685E22" w:rsidP="00685E22">
      <w:pPr>
        <w:spacing w:line="600" w:lineRule="exact"/>
        <w:ind w:firstLineChars="200" w:firstLine="640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同时，学院紧抓“创新强校工程”项目在提升内涵建设方面的重要载体功能，2017年，学院完成了第二期规划的编制工作，共有7大类28小类项目，涵盖学院十三期间的工作重点，总预算达6787万元。</w:t>
      </w:r>
    </w:p>
    <w:p w:rsidR="002979CE" w:rsidRPr="00685E22" w:rsidRDefault="002979CE"/>
    <w:sectPr w:rsidR="002979CE" w:rsidRPr="00685E22" w:rsidSect="002979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33" w:rsidRDefault="00431533" w:rsidP="00685E22">
      <w:r>
        <w:separator/>
      </w:r>
    </w:p>
  </w:endnote>
  <w:endnote w:type="continuationSeparator" w:id="0">
    <w:p w:rsidR="00431533" w:rsidRDefault="00431533" w:rsidP="0068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1E" w:rsidRDefault="00CF15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1E" w:rsidRDefault="00CF151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1E" w:rsidRDefault="00CF15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33" w:rsidRDefault="00431533" w:rsidP="00685E22">
      <w:r>
        <w:separator/>
      </w:r>
    </w:p>
  </w:footnote>
  <w:footnote w:type="continuationSeparator" w:id="0">
    <w:p w:rsidR="00431533" w:rsidRDefault="00431533" w:rsidP="00685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1E" w:rsidRDefault="00CF15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1E" w:rsidRPr="00CF151E" w:rsidRDefault="00CF151E" w:rsidP="00CF151E">
    <w:pPr>
      <w:pStyle w:val="a3"/>
      <w:ind w:firstLineChars="200" w:firstLine="420"/>
      <w:jc w:val="both"/>
      <w:rPr>
        <w:sz w:val="21"/>
        <w:szCs w:val="21"/>
      </w:rPr>
    </w:pPr>
    <w:r>
      <w:rPr>
        <w:rFonts w:ascii="楷体_GB2312" w:eastAsia="楷体_GB2312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1057275</wp:posOffset>
          </wp:positionH>
          <wp:positionV relativeFrom="page">
            <wp:posOffset>447675</wp:posOffset>
          </wp:positionV>
          <wp:extent cx="323850" cy="323850"/>
          <wp:effectExtent l="19050" t="0" r="0" b="0"/>
          <wp:wrapNone/>
          <wp:docPr id="1" name="Picture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楷体_GB2312" w:eastAsia="楷体_GB2312" w:hint="eastAsia"/>
        <w:sz w:val="21"/>
        <w:szCs w:val="21"/>
      </w:rPr>
      <w:t xml:space="preserve">汕头职业技术学院 </w:t>
    </w:r>
    <w:r>
      <w:rPr>
        <w:rFonts w:hint="eastAsia"/>
        <w:sz w:val="21"/>
        <w:szCs w:val="21"/>
      </w:rPr>
      <w:t xml:space="preserve">                          </w:t>
    </w:r>
    <w:r>
      <w:rPr>
        <w:rFonts w:ascii="楷体_GB2312" w:eastAsia="楷体_GB2312" w:hint="eastAsia"/>
        <w:sz w:val="21"/>
        <w:szCs w:val="21"/>
      </w:rPr>
      <w:t>高等职业教育质量年度报告</w:t>
    </w:r>
    <w:r>
      <w:rPr>
        <w:rFonts w:hint="eastAsia"/>
        <w:sz w:val="21"/>
        <w:szCs w:val="21"/>
      </w:rPr>
      <w:t>（</w:t>
    </w:r>
    <w:r>
      <w:rPr>
        <w:rFonts w:hint="eastAsia"/>
        <w:sz w:val="21"/>
        <w:szCs w:val="21"/>
      </w:rPr>
      <w:t>2018</w:t>
    </w:r>
    <w:r>
      <w:rPr>
        <w:rFonts w:hint="eastAsia"/>
        <w:sz w:val="21"/>
        <w:szCs w:val="21"/>
      </w:rPr>
      <w:t>）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1E" w:rsidRDefault="00CF15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73D2"/>
    <w:multiLevelType w:val="singleLevel"/>
    <w:tmpl w:val="5A3873D2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E22"/>
    <w:rsid w:val="002979CE"/>
    <w:rsid w:val="00431533"/>
    <w:rsid w:val="00685E22"/>
    <w:rsid w:val="00CF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8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E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E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15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15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2018-01-19T08:04:00Z</dcterms:created>
  <dcterms:modified xsi:type="dcterms:W3CDTF">2018-01-19T08:05:00Z</dcterms:modified>
</cp:coreProperties>
</file>