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039A9D">
      <w:pPr>
        <w:pStyle w:val="2"/>
        <w:keepNext w:val="0"/>
        <w:keepLines w:val="0"/>
        <w:pageBreakBefore w:val="0"/>
        <w:widowControl w:val="0"/>
        <w:kinsoku/>
        <w:wordWrap/>
        <w:overflowPunct/>
        <w:topLinePunct w:val="0"/>
        <w:autoSpaceDE/>
        <w:autoSpaceDN/>
        <w:bidi w:val="0"/>
        <w:adjustRightInd/>
        <w:snapToGrid/>
        <w:spacing w:before="156" w:beforeLines="50" w:after="156" w:afterLines="50" w:line="440" w:lineRule="exact"/>
        <w:ind w:left="0" w:leftChars="0" w:firstLine="0" w:firstLineChars="0"/>
        <w:jc w:val="center"/>
        <w:textAlignment w:val="auto"/>
        <w:rPr>
          <w:color w:val="auto"/>
          <w:sz w:val="28"/>
          <w:szCs w:val="28"/>
        </w:rPr>
      </w:pPr>
      <w:bookmarkStart w:id="0" w:name="_Toc20623"/>
      <w:bookmarkStart w:id="1" w:name="_Toc1594"/>
      <w:bookmarkStart w:id="2" w:name="_Toc8302"/>
      <w:bookmarkStart w:id="3" w:name="_Toc31753"/>
      <w:r>
        <w:rPr>
          <w:rFonts w:hint="eastAsia"/>
          <w:color w:val="auto"/>
          <w:sz w:val="28"/>
          <w:szCs w:val="28"/>
        </w:rPr>
        <w:t>汕头职业技术学院经费开支管理暂行办法</w:t>
      </w:r>
      <w:bookmarkEnd w:id="0"/>
      <w:bookmarkEnd w:id="1"/>
      <w:bookmarkEnd w:id="2"/>
      <w:bookmarkEnd w:id="3"/>
    </w:p>
    <w:p w14:paraId="740545CD">
      <w:pPr>
        <w:keepNext w:val="0"/>
        <w:keepLines w:val="0"/>
        <w:pageBreakBefore w:val="0"/>
        <w:kinsoku/>
        <w:wordWrap/>
        <w:overflowPunct/>
        <w:topLinePunct w:val="0"/>
        <w:autoSpaceDE/>
        <w:autoSpaceDN/>
        <w:bidi w:val="0"/>
        <w:adjustRightInd/>
        <w:jc w:val="center"/>
        <w:outlineLvl w:val="1"/>
        <w:rPr>
          <w:color w:val="auto"/>
        </w:rPr>
      </w:pPr>
      <w:r>
        <w:rPr>
          <w:rFonts w:hint="eastAsia"/>
          <w:color w:val="auto"/>
          <w:sz w:val="24"/>
        </w:rPr>
        <w:t>（汕职院发</w:t>
      </w:r>
      <w:r>
        <w:rPr>
          <w:rFonts w:hint="eastAsia" w:ascii="宋体" w:hAnsi="宋体" w:cs="宋体"/>
          <w:color w:val="auto"/>
          <w:sz w:val="24"/>
        </w:rPr>
        <w:t>〔</w:t>
      </w:r>
      <w:r>
        <w:rPr>
          <w:rFonts w:hint="eastAsia"/>
          <w:color w:val="auto"/>
          <w:sz w:val="24"/>
        </w:rPr>
        <w:t>2020</w:t>
      </w:r>
      <w:r>
        <w:rPr>
          <w:rFonts w:hint="eastAsia" w:ascii="宋体" w:hAnsi="宋体" w:cs="宋体"/>
          <w:color w:val="auto"/>
          <w:sz w:val="24"/>
        </w:rPr>
        <w:t>〕57</w:t>
      </w:r>
      <w:r>
        <w:rPr>
          <w:rFonts w:hint="eastAsia"/>
          <w:color w:val="auto"/>
          <w:sz w:val="24"/>
        </w:rPr>
        <w:t>号）</w:t>
      </w:r>
    </w:p>
    <w:p w14:paraId="7F8E1AAC">
      <w:pPr>
        <w:pStyle w:val="6"/>
        <w:keepNext w:val="0"/>
        <w:keepLines w:val="0"/>
        <w:pageBreakBefore w:val="0"/>
        <w:widowControl w:val="0"/>
        <w:kinsoku/>
        <w:wordWrap/>
        <w:overflowPunct/>
        <w:topLinePunct w:val="0"/>
        <w:autoSpaceDE/>
        <w:autoSpaceDN/>
        <w:bidi w:val="0"/>
        <w:adjustRightInd/>
        <w:spacing w:before="156" w:beforeLines="50" w:after="156" w:afterLines="50" w:line="440" w:lineRule="exact"/>
        <w:textAlignment w:val="auto"/>
        <w:outlineLvl w:val="1"/>
        <w:rPr>
          <w:rFonts w:ascii="宋体" w:hAnsi="宋体" w:eastAsia="宋体"/>
          <w:b/>
          <w:bCs/>
          <w:color w:val="auto"/>
          <w:sz w:val="24"/>
          <w:szCs w:val="24"/>
        </w:rPr>
      </w:pPr>
      <w:bookmarkStart w:id="4" w:name="_Toc21782"/>
      <w:bookmarkStart w:id="5" w:name="_Toc24599"/>
      <w:r>
        <w:rPr>
          <w:rFonts w:hint="eastAsia" w:ascii="宋体" w:hAnsi="宋体" w:eastAsia="宋体"/>
          <w:b/>
          <w:bCs/>
          <w:color w:val="auto"/>
          <w:sz w:val="24"/>
          <w:szCs w:val="24"/>
        </w:rPr>
        <w:t>第一章  总 则</w:t>
      </w:r>
      <w:bookmarkEnd w:id="4"/>
      <w:bookmarkEnd w:id="5"/>
    </w:p>
    <w:p w14:paraId="57F607F9">
      <w:pPr>
        <w:keepNext w:val="0"/>
        <w:keepLines w:val="0"/>
        <w:pageBreakBefore w:val="0"/>
        <w:tabs>
          <w:tab w:val="left" w:pos="0"/>
        </w:tabs>
        <w:kinsoku/>
        <w:wordWrap/>
        <w:overflowPunct/>
        <w:topLinePunct w:val="0"/>
        <w:autoSpaceDE/>
        <w:autoSpaceDN/>
        <w:bidi w:val="0"/>
        <w:adjustRightInd/>
        <w:spacing w:line="440" w:lineRule="exact"/>
        <w:ind w:firstLine="482" w:firstLineChars="200"/>
        <w:outlineLvl w:val="1"/>
        <w:rPr>
          <w:rFonts w:ascii="宋体" w:hAnsi="宋体" w:cs="宋体"/>
          <w:color w:val="auto"/>
          <w:sz w:val="24"/>
        </w:rPr>
      </w:pPr>
      <w:r>
        <w:rPr>
          <w:rFonts w:hint="eastAsia" w:ascii="宋体" w:hAnsi="宋体" w:cs="宋体"/>
          <w:b/>
          <w:bCs/>
          <w:color w:val="auto"/>
          <w:sz w:val="24"/>
        </w:rPr>
        <w:t xml:space="preserve">第一条 </w:t>
      </w:r>
      <w:r>
        <w:rPr>
          <w:rFonts w:hint="eastAsia" w:ascii="宋体" w:hAnsi="宋体" w:cs="宋体"/>
          <w:color w:val="auto"/>
          <w:sz w:val="24"/>
        </w:rPr>
        <w:t xml:space="preserve"> 为贯彻执行国家以及上级财政部门的财经制度和规定，严格财经纪律，加强预算管理，规范财务开支、审批、报销行为，强化服务意识，提高工作效率和资金使用效益，促进学院各项事业持续、健康发展，根据《预算法》《会计法》《会计基础工作规范》《政府会计准则制度》、《关于进一步加强高校财务管理工作的意见》（粤教财〔2006〕17号）、广东省省级财政专项资金管理办法（试行）的通知》（粤府〔2018〕120号）和《关于广东省深化高等教育领域简政放权放管结合优化服务改革的实施意见》及国家、省、市有关财经法律法规，结合学院实际情况，制定本办法。</w:t>
      </w:r>
    </w:p>
    <w:p w14:paraId="4224D973">
      <w:pPr>
        <w:keepNext w:val="0"/>
        <w:keepLines w:val="0"/>
        <w:pageBreakBefore w:val="0"/>
        <w:kinsoku/>
        <w:wordWrap/>
        <w:overflowPunct/>
        <w:topLinePunct w:val="0"/>
        <w:autoSpaceDE/>
        <w:autoSpaceDN/>
        <w:bidi w:val="0"/>
        <w:adjustRightInd/>
        <w:spacing w:line="440" w:lineRule="exact"/>
        <w:ind w:left="2" w:leftChars="1" w:firstLine="482" w:firstLineChars="200"/>
        <w:outlineLvl w:val="1"/>
        <w:rPr>
          <w:rFonts w:ascii="宋体" w:hAnsi="宋体" w:cs="宋体"/>
          <w:color w:val="auto"/>
          <w:sz w:val="24"/>
        </w:rPr>
      </w:pPr>
      <w:r>
        <w:rPr>
          <w:rFonts w:hint="eastAsia" w:ascii="宋体" w:hAnsi="宋体" w:cs="宋体"/>
          <w:b/>
          <w:bCs/>
          <w:color w:val="auto"/>
          <w:sz w:val="24"/>
        </w:rPr>
        <w:t xml:space="preserve">第二条 </w:t>
      </w:r>
      <w:r>
        <w:rPr>
          <w:rFonts w:hint="eastAsia" w:ascii="宋体" w:hAnsi="宋体" w:cs="宋体"/>
          <w:color w:val="auto"/>
          <w:sz w:val="24"/>
        </w:rPr>
        <w:t xml:space="preserve"> 实行统一领导、集中管理的财务管理体制，坚持勤俭办学的方针，以“量入为出、收支平衡、统筹兼顾、专款专用”为原则，经费支出必须做到支出合理，厉行节约、讲求效益。</w:t>
      </w:r>
    </w:p>
    <w:p w14:paraId="68F445FB">
      <w:pPr>
        <w:keepNext w:val="0"/>
        <w:keepLines w:val="0"/>
        <w:pageBreakBefore w:val="0"/>
        <w:kinsoku/>
        <w:wordWrap/>
        <w:overflowPunct/>
        <w:topLinePunct w:val="0"/>
        <w:autoSpaceDE/>
        <w:autoSpaceDN/>
        <w:bidi w:val="0"/>
        <w:adjustRightInd/>
        <w:spacing w:line="440" w:lineRule="exact"/>
        <w:ind w:firstLine="482" w:firstLineChars="200"/>
        <w:outlineLvl w:val="1"/>
        <w:rPr>
          <w:rFonts w:ascii="宋体" w:hAnsi="宋体" w:cs="宋体"/>
          <w:color w:val="auto"/>
          <w:sz w:val="24"/>
        </w:rPr>
      </w:pPr>
      <w:r>
        <w:rPr>
          <w:rFonts w:hint="eastAsia" w:ascii="宋体" w:hAnsi="宋体" w:cs="宋体"/>
          <w:b/>
          <w:bCs/>
          <w:color w:val="auto"/>
          <w:sz w:val="24"/>
        </w:rPr>
        <w:t xml:space="preserve">第三条 </w:t>
      </w:r>
      <w:r>
        <w:rPr>
          <w:rFonts w:hint="eastAsia" w:ascii="宋体" w:hAnsi="宋体" w:cs="宋体"/>
          <w:color w:val="auto"/>
          <w:sz w:val="24"/>
        </w:rPr>
        <w:t xml:space="preserve"> 本办法适用于纳入学院统一核算的所有经费管理。学院所有经费按预算下达分类，分为：项目经费、部门经费、学院公共经费和机动费。其中项目经费是指创新强校工程、质量工程项目等纳入项目库管理的经费；部门经费指部门预算内经费，即预算安排至各职能部门，由各职能部门掌管的、用于全院事业发展的经费以及各部门工作经费等；学院公共经费指预算安排至院级的各项经费；学院机动费是指在预算中安排的仅用于不可预见的或超预算的必要开支。</w:t>
      </w:r>
    </w:p>
    <w:p w14:paraId="10066044">
      <w:pPr>
        <w:pStyle w:val="3"/>
        <w:keepNext w:val="0"/>
        <w:keepLines w:val="0"/>
        <w:pageBreakBefore w:val="0"/>
        <w:widowControl w:val="0"/>
        <w:kinsoku/>
        <w:wordWrap/>
        <w:overflowPunct/>
        <w:topLinePunct w:val="0"/>
        <w:autoSpaceDE/>
        <w:autoSpaceDN/>
        <w:bidi w:val="0"/>
        <w:adjustRightInd/>
        <w:spacing w:before="156" w:beforeLines="50" w:beforeAutospacing="0" w:after="156" w:afterLines="50" w:afterAutospacing="0" w:line="440" w:lineRule="exact"/>
        <w:jc w:val="center"/>
        <w:textAlignment w:val="auto"/>
        <w:outlineLvl w:val="1"/>
        <w:rPr>
          <w:color w:val="auto"/>
        </w:rPr>
      </w:pPr>
      <w:bookmarkStart w:id="6" w:name="_Toc11173"/>
      <w:bookmarkStart w:id="7" w:name="_Toc19291"/>
      <w:r>
        <w:rPr>
          <w:rFonts w:hint="eastAsia"/>
          <w:b/>
          <w:bCs/>
          <w:color w:val="auto"/>
        </w:rPr>
        <w:t>第二章  经费审批原则和权限</w:t>
      </w:r>
      <w:bookmarkEnd w:id="6"/>
      <w:bookmarkEnd w:id="7"/>
    </w:p>
    <w:p w14:paraId="5B996B19">
      <w:pPr>
        <w:keepNext w:val="0"/>
        <w:keepLines w:val="0"/>
        <w:pageBreakBefore w:val="0"/>
        <w:tabs>
          <w:tab w:val="left" w:pos="1722"/>
        </w:tabs>
        <w:kinsoku/>
        <w:wordWrap/>
        <w:overflowPunct/>
        <w:topLinePunct w:val="0"/>
        <w:autoSpaceDE/>
        <w:autoSpaceDN/>
        <w:bidi w:val="0"/>
        <w:adjustRightInd/>
        <w:spacing w:line="440" w:lineRule="exact"/>
        <w:ind w:firstLine="482" w:firstLineChars="200"/>
        <w:outlineLvl w:val="1"/>
        <w:rPr>
          <w:rFonts w:ascii="宋体" w:hAnsi="宋体" w:cs="宋体"/>
          <w:color w:val="auto"/>
          <w:sz w:val="24"/>
        </w:rPr>
      </w:pPr>
      <w:r>
        <w:rPr>
          <w:rFonts w:hint="eastAsia" w:ascii="宋体" w:hAnsi="宋体" w:cs="宋体"/>
          <w:b/>
          <w:bCs/>
          <w:color w:val="auto"/>
          <w:sz w:val="24"/>
        </w:rPr>
        <w:t>第四条</w:t>
      </w:r>
      <w:r>
        <w:rPr>
          <w:rFonts w:hint="eastAsia" w:ascii="宋体" w:hAnsi="宋体" w:cs="宋体"/>
          <w:color w:val="auto"/>
          <w:sz w:val="24"/>
        </w:rPr>
        <w:t xml:space="preserve">  学院经费审批按照学院经济责任制实施办法规定，实行责、权、利相结合和“谁主管、谁审批、谁负责”的原则，审批人对职权范围内经济活动的真实性、合理性、合法性、合规性负责。</w:t>
      </w:r>
    </w:p>
    <w:p w14:paraId="7D80D79F">
      <w:pPr>
        <w:keepNext w:val="0"/>
        <w:keepLines w:val="0"/>
        <w:pageBreakBefore w:val="0"/>
        <w:kinsoku/>
        <w:wordWrap/>
        <w:overflowPunct/>
        <w:topLinePunct w:val="0"/>
        <w:autoSpaceDE/>
        <w:autoSpaceDN/>
        <w:bidi w:val="0"/>
        <w:adjustRightInd/>
        <w:spacing w:line="440" w:lineRule="exact"/>
        <w:ind w:firstLine="482" w:firstLineChars="200"/>
        <w:outlineLvl w:val="1"/>
        <w:rPr>
          <w:rFonts w:ascii="宋体" w:hAnsi="宋体" w:cs="宋体"/>
          <w:color w:val="auto"/>
          <w:sz w:val="24"/>
        </w:rPr>
      </w:pPr>
      <w:r>
        <w:rPr>
          <w:rFonts w:hint="eastAsia" w:ascii="宋体" w:hAnsi="宋体" w:cs="宋体"/>
          <w:b/>
          <w:bCs/>
          <w:color w:val="auto"/>
          <w:sz w:val="24"/>
        </w:rPr>
        <w:t>第五条</w:t>
      </w:r>
      <w:r>
        <w:rPr>
          <w:rFonts w:hint="eastAsia" w:ascii="宋体" w:hAnsi="宋体" w:cs="宋体"/>
          <w:color w:val="auto"/>
          <w:sz w:val="24"/>
        </w:rPr>
        <w:t xml:space="preserve">  各项经费开支严格执行“一支笔”的审批制度，审批人应将签名样本交计划财务处留存。经费审批必须由审批人亲笔签名，不能代签，也不能以印章代替签名。审批人因特殊情况必须授权他人行使经费使用审批权的，应出具书面委托授权书，报计划财务处备案。</w:t>
      </w:r>
    </w:p>
    <w:p w14:paraId="33A83B4D">
      <w:pPr>
        <w:keepNext w:val="0"/>
        <w:keepLines w:val="0"/>
        <w:pageBreakBefore w:val="0"/>
        <w:kinsoku/>
        <w:wordWrap/>
        <w:overflowPunct/>
        <w:topLinePunct w:val="0"/>
        <w:autoSpaceDE/>
        <w:autoSpaceDN/>
        <w:bidi w:val="0"/>
        <w:adjustRightInd/>
        <w:spacing w:line="440" w:lineRule="exact"/>
        <w:ind w:firstLine="482" w:firstLineChars="200"/>
        <w:outlineLvl w:val="1"/>
        <w:rPr>
          <w:rFonts w:ascii="宋体" w:hAnsi="宋体" w:cs="宋体"/>
          <w:color w:val="auto"/>
          <w:sz w:val="24"/>
        </w:rPr>
      </w:pPr>
      <w:r>
        <w:rPr>
          <w:rFonts w:hint="eastAsia" w:ascii="宋体" w:hAnsi="宋体" w:cs="宋体"/>
          <w:b/>
          <w:bCs/>
          <w:color w:val="auto"/>
          <w:sz w:val="24"/>
        </w:rPr>
        <w:t>第六条</w:t>
      </w:r>
      <w:r>
        <w:rPr>
          <w:rFonts w:hint="eastAsia" w:ascii="宋体" w:hAnsi="宋体" w:cs="宋体"/>
          <w:color w:val="auto"/>
          <w:sz w:val="24"/>
        </w:rPr>
        <w:t xml:space="preserve">  经费开支实行逐级审批原则，具体审批权限如下：</w:t>
      </w:r>
    </w:p>
    <w:p w14:paraId="5BBEC64A">
      <w:pPr>
        <w:keepNext w:val="0"/>
        <w:keepLines w:val="0"/>
        <w:pageBreakBefore w:val="0"/>
        <w:kinsoku/>
        <w:wordWrap/>
        <w:overflowPunct/>
        <w:topLinePunct w:val="0"/>
        <w:autoSpaceDE/>
        <w:autoSpaceDN/>
        <w:bidi w:val="0"/>
        <w:adjustRightInd/>
        <w:spacing w:before="312" w:beforeLines="100" w:line="440" w:lineRule="exact"/>
        <w:jc w:val="center"/>
        <w:outlineLvl w:val="1"/>
        <w:rPr>
          <w:rFonts w:ascii="宋体" w:hAnsi="宋体" w:cs="宋体"/>
          <w:color w:val="auto"/>
          <w:sz w:val="24"/>
        </w:rPr>
      </w:pPr>
      <w:r>
        <w:rPr>
          <w:rFonts w:hint="eastAsia" w:ascii="宋体" w:hAnsi="宋体" w:cs="宋体"/>
          <w:b/>
          <w:bCs/>
          <w:color w:val="auto"/>
          <w:sz w:val="24"/>
        </w:rPr>
        <w:t>经费审批权限一览表（</w:t>
      </w:r>
      <w:r>
        <w:rPr>
          <w:rFonts w:hint="eastAsia" w:ascii="宋体" w:hAnsi="宋体" w:cs="宋体"/>
          <w:color w:val="auto"/>
          <w:sz w:val="24"/>
        </w:rPr>
        <w:t>金额单位：元）</w:t>
      </w:r>
    </w:p>
    <w:p w14:paraId="7246D46E">
      <w:pPr>
        <w:keepNext w:val="0"/>
        <w:keepLines w:val="0"/>
        <w:pageBreakBefore w:val="0"/>
        <w:widowControl/>
        <w:kinsoku/>
        <w:wordWrap/>
        <w:overflowPunct/>
        <w:topLinePunct w:val="0"/>
        <w:autoSpaceDE/>
        <w:autoSpaceDN/>
        <w:bidi w:val="0"/>
        <w:adjustRightInd/>
        <w:spacing w:line="440" w:lineRule="exact"/>
        <w:textAlignment w:val="center"/>
        <w:outlineLvl w:val="1"/>
        <w:rPr>
          <w:rFonts w:ascii="宋体" w:hAnsi="宋体" w:cs="宋体"/>
          <w:color w:val="auto"/>
          <w:sz w:val="24"/>
        </w:rPr>
      </w:pPr>
      <w:r>
        <w:rPr>
          <w:rFonts w:hint="eastAsia" w:ascii="宋体" w:hAnsi="宋体" w:cs="宋体"/>
          <w:color w:val="auto"/>
          <w:sz w:val="24"/>
        </w:rPr>
        <mc:AlternateContent>
          <mc:Choice Requires="wps">
            <w:drawing>
              <wp:anchor distT="0" distB="0" distL="114300" distR="114300" simplePos="0" relativeHeight="251659264" behindDoc="0" locked="0" layoutInCell="1" allowOverlap="1">
                <wp:simplePos x="0" y="0"/>
                <wp:positionH relativeFrom="column">
                  <wp:posOffset>-384810</wp:posOffset>
                </wp:positionH>
                <wp:positionV relativeFrom="paragraph">
                  <wp:posOffset>163830</wp:posOffset>
                </wp:positionV>
                <wp:extent cx="6648450" cy="2962275"/>
                <wp:effectExtent l="0" t="0" r="0" b="9525"/>
                <wp:wrapNone/>
                <wp:docPr id="224" name="文本框 224"/>
                <wp:cNvGraphicFramePr/>
                <a:graphic xmlns:a="http://schemas.openxmlformats.org/drawingml/2006/main">
                  <a:graphicData uri="http://schemas.microsoft.com/office/word/2010/wordprocessingShape">
                    <wps:wsp>
                      <wps:cNvSpPr txBox="1"/>
                      <wps:spPr>
                        <a:xfrm>
                          <a:off x="0" y="0"/>
                          <a:ext cx="6648450" cy="2962275"/>
                        </a:xfrm>
                        <a:prstGeom prst="rect">
                          <a:avLst/>
                        </a:prstGeom>
                        <a:solidFill>
                          <a:srgbClr val="FFFFFF"/>
                        </a:solidFill>
                        <a:ln>
                          <a:noFill/>
                        </a:ln>
                      </wps:spPr>
                      <wps:txbx>
                        <w:txbxContent>
                          <w:tbl>
                            <w:tblPr>
                              <w:tblStyle w:val="4"/>
                              <w:tblW w:w="10222" w:type="dxa"/>
                              <w:jc w:val="center"/>
                              <w:tblLayout w:type="fixed"/>
                              <w:tblCellMar>
                                <w:top w:w="15" w:type="dxa"/>
                                <w:left w:w="15" w:type="dxa"/>
                                <w:bottom w:w="15" w:type="dxa"/>
                                <w:right w:w="15" w:type="dxa"/>
                              </w:tblCellMar>
                            </w:tblPr>
                            <w:tblGrid>
                              <w:gridCol w:w="1149"/>
                              <w:gridCol w:w="851"/>
                              <w:gridCol w:w="1701"/>
                              <w:gridCol w:w="1417"/>
                              <w:gridCol w:w="1134"/>
                              <w:gridCol w:w="1134"/>
                              <w:gridCol w:w="1418"/>
                              <w:gridCol w:w="1418"/>
                            </w:tblGrid>
                            <w:tr w14:paraId="76E93BE7">
                              <w:tblPrEx>
                                <w:tblCellMar>
                                  <w:top w:w="15" w:type="dxa"/>
                                  <w:left w:w="15" w:type="dxa"/>
                                  <w:bottom w:w="15" w:type="dxa"/>
                                  <w:right w:w="15" w:type="dxa"/>
                                </w:tblCellMar>
                              </w:tblPrEx>
                              <w:trPr>
                                <w:trHeight w:val="1124" w:hRule="atLeast"/>
                                <w:jc w:val="center"/>
                              </w:trPr>
                              <w:tc>
                                <w:tcPr>
                                  <w:tcW w:w="1149" w:type="dxa"/>
                                  <w:tcBorders>
                                    <w:top w:val="single" w:color="000000" w:sz="4" w:space="0"/>
                                    <w:left w:val="single" w:color="000000" w:sz="4" w:space="0"/>
                                    <w:bottom w:val="single" w:color="000000" w:sz="4" w:space="0"/>
                                    <w:right w:val="single" w:color="000000" w:sz="4" w:space="0"/>
                                  </w:tcBorders>
                                  <w:vAlign w:val="center"/>
                                </w:tcPr>
                                <w:p w14:paraId="125C38FC">
                                  <w:pPr>
                                    <w:spacing w:line="320" w:lineRule="exact"/>
                                    <w:jc w:val="center"/>
                                    <w:rPr>
                                      <w:rFonts w:ascii="宋体" w:hAnsi="宋体" w:cs="宋体"/>
                                      <w:b/>
                                      <w:bCs/>
                                      <w:color w:val="000000"/>
                                      <w:szCs w:val="21"/>
                                    </w:rPr>
                                  </w:pPr>
                                  <w:r>
                                    <w:rPr>
                                      <w:rFonts w:hint="eastAsia" w:ascii="宋体" w:hAnsi="宋体" w:cs="宋体"/>
                                      <w:b/>
                                      <w:bCs/>
                                      <w:color w:val="000000"/>
                                      <w:szCs w:val="21"/>
                                    </w:rPr>
                                    <w:t>审批权限</w:t>
                                  </w:r>
                                </w:p>
                              </w:tc>
                              <w:tc>
                                <w:tcPr>
                                  <w:tcW w:w="851" w:type="dxa"/>
                                  <w:tcBorders>
                                    <w:top w:val="single" w:color="000000" w:sz="4" w:space="0"/>
                                    <w:left w:val="single" w:color="000000" w:sz="4" w:space="0"/>
                                    <w:bottom w:val="single" w:color="000000" w:sz="4" w:space="0"/>
                                    <w:right w:val="single" w:color="000000" w:sz="4" w:space="0"/>
                                  </w:tcBorders>
                                  <w:vAlign w:val="center"/>
                                </w:tcPr>
                                <w:p w14:paraId="2A76E5AC">
                                  <w:pPr>
                                    <w:widowControl/>
                                    <w:spacing w:line="320" w:lineRule="exact"/>
                                    <w:jc w:val="center"/>
                                    <w:textAlignment w:val="center"/>
                                    <w:rPr>
                                      <w:rFonts w:ascii="宋体" w:hAnsi="宋体" w:cs="宋体"/>
                                      <w:b/>
                                      <w:bCs/>
                                      <w:color w:val="000000"/>
                                      <w:szCs w:val="21"/>
                                    </w:rPr>
                                  </w:pPr>
                                  <w:r>
                                    <w:rPr>
                                      <w:rFonts w:hint="eastAsia" w:ascii="宋体" w:hAnsi="宋体" w:cs="宋体"/>
                                      <w:b/>
                                      <w:bCs/>
                                      <w:color w:val="000000"/>
                                      <w:szCs w:val="21"/>
                                    </w:rPr>
                                    <w:t>项目负责人</w:t>
                                  </w:r>
                                </w:p>
                              </w:tc>
                              <w:tc>
                                <w:tcPr>
                                  <w:tcW w:w="1701" w:type="dxa"/>
                                  <w:tcBorders>
                                    <w:top w:val="single" w:color="000000" w:sz="4" w:space="0"/>
                                    <w:left w:val="single" w:color="000000" w:sz="4" w:space="0"/>
                                    <w:bottom w:val="single" w:color="000000" w:sz="4" w:space="0"/>
                                    <w:right w:val="single" w:color="000000" w:sz="4" w:space="0"/>
                                  </w:tcBorders>
                                  <w:vAlign w:val="center"/>
                                </w:tcPr>
                                <w:p w14:paraId="1A79CE1C">
                                  <w:pPr>
                                    <w:widowControl/>
                                    <w:spacing w:line="320" w:lineRule="exact"/>
                                    <w:jc w:val="center"/>
                                    <w:textAlignment w:val="center"/>
                                    <w:rPr>
                                      <w:rFonts w:ascii="宋体" w:hAnsi="宋体" w:cs="宋体"/>
                                      <w:b/>
                                      <w:bCs/>
                                      <w:color w:val="000000"/>
                                      <w:szCs w:val="21"/>
                                    </w:rPr>
                                  </w:pPr>
                                  <w:r>
                                    <w:rPr>
                                      <w:rFonts w:hint="eastAsia" w:ascii="宋体" w:hAnsi="宋体" w:cs="宋体"/>
                                      <w:b/>
                                      <w:bCs/>
                                      <w:color w:val="000000"/>
                                      <w:szCs w:val="21"/>
                                    </w:rPr>
                                    <w:t>各处（室）、系（院/部）、中心（馆）负责人</w:t>
                                  </w:r>
                                </w:p>
                              </w:tc>
                              <w:tc>
                                <w:tcPr>
                                  <w:tcW w:w="1417" w:type="dxa"/>
                                  <w:tcBorders>
                                    <w:top w:val="single" w:color="000000" w:sz="4" w:space="0"/>
                                    <w:left w:val="single" w:color="000000" w:sz="4" w:space="0"/>
                                    <w:bottom w:val="single" w:color="000000" w:sz="4" w:space="0"/>
                                    <w:right w:val="single" w:color="000000" w:sz="4" w:space="0"/>
                                  </w:tcBorders>
                                  <w:vAlign w:val="center"/>
                                </w:tcPr>
                                <w:p w14:paraId="17E8C17D">
                                  <w:pPr>
                                    <w:widowControl/>
                                    <w:spacing w:line="320" w:lineRule="exact"/>
                                    <w:jc w:val="center"/>
                                    <w:textAlignment w:val="center"/>
                                    <w:rPr>
                                      <w:rFonts w:ascii="宋体" w:hAnsi="宋体" w:cs="宋体"/>
                                      <w:b/>
                                      <w:bCs/>
                                      <w:szCs w:val="21"/>
                                    </w:rPr>
                                  </w:pPr>
                                  <w:r>
                                    <w:rPr>
                                      <w:rFonts w:hint="eastAsia" w:ascii="宋体" w:hAnsi="宋体" w:cs="宋体"/>
                                      <w:b/>
                                      <w:bCs/>
                                      <w:szCs w:val="21"/>
                                    </w:rPr>
                                    <w:t>分管业务院领导</w:t>
                                  </w:r>
                                </w:p>
                              </w:tc>
                              <w:tc>
                                <w:tcPr>
                                  <w:tcW w:w="1134" w:type="dxa"/>
                                  <w:tcBorders>
                                    <w:top w:val="single" w:color="000000" w:sz="4" w:space="0"/>
                                    <w:left w:val="single" w:color="000000" w:sz="4" w:space="0"/>
                                    <w:bottom w:val="single" w:color="000000" w:sz="4" w:space="0"/>
                                    <w:right w:val="single" w:color="000000" w:sz="4" w:space="0"/>
                                  </w:tcBorders>
                                  <w:vAlign w:val="center"/>
                                </w:tcPr>
                                <w:p w14:paraId="1F81912B">
                                  <w:pPr>
                                    <w:widowControl/>
                                    <w:spacing w:line="320" w:lineRule="exact"/>
                                    <w:jc w:val="center"/>
                                    <w:textAlignment w:val="center"/>
                                    <w:rPr>
                                      <w:rFonts w:ascii="宋体" w:hAnsi="宋体" w:cs="宋体"/>
                                      <w:b/>
                                      <w:bCs/>
                                      <w:color w:val="000000"/>
                                      <w:szCs w:val="21"/>
                                    </w:rPr>
                                  </w:pPr>
                                  <w:r>
                                    <w:rPr>
                                      <w:rFonts w:hint="eastAsia" w:ascii="宋体" w:hAnsi="宋体" w:cs="宋体"/>
                                      <w:b/>
                                      <w:bCs/>
                                      <w:color w:val="000000"/>
                                      <w:szCs w:val="21"/>
                                    </w:rPr>
                                    <w:t>分管财务副院长</w:t>
                                  </w:r>
                                </w:p>
                              </w:tc>
                              <w:tc>
                                <w:tcPr>
                                  <w:tcW w:w="1134" w:type="dxa"/>
                                  <w:tcBorders>
                                    <w:top w:val="single" w:color="000000" w:sz="4" w:space="0"/>
                                    <w:left w:val="single" w:color="000000" w:sz="4" w:space="0"/>
                                    <w:bottom w:val="single" w:color="000000" w:sz="4" w:space="0"/>
                                    <w:right w:val="single" w:color="000000" w:sz="4" w:space="0"/>
                                  </w:tcBorders>
                                  <w:vAlign w:val="center"/>
                                </w:tcPr>
                                <w:p w14:paraId="606B0882">
                                  <w:pPr>
                                    <w:widowControl/>
                                    <w:spacing w:line="320" w:lineRule="exact"/>
                                    <w:jc w:val="center"/>
                                    <w:textAlignment w:val="center"/>
                                    <w:rPr>
                                      <w:rFonts w:ascii="宋体" w:hAnsi="宋体" w:cs="宋体"/>
                                      <w:b/>
                                      <w:bCs/>
                                      <w:color w:val="000000"/>
                                      <w:szCs w:val="21"/>
                                    </w:rPr>
                                  </w:pPr>
                                  <w:r>
                                    <w:rPr>
                                      <w:rFonts w:hint="eastAsia" w:ascii="宋体" w:hAnsi="宋体" w:cs="宋体"/>
                                      <w:b/>
                                      <w:bCs/>
                                      <w:color w:val="000000"/>
                                      <w:szCs w:val="21"/>
                                    </w:rPr>
                                    <w:t>院长</w:t>
                                  </w:r>
                                </w:p>
                              </w:tc>
                              <w:tc>
                                <w:tcPr>
                                  <w:tcW w:w="1418" w:type="dxa"/>
                                  <w:tcBorders>
                                    <w:top w:val="single" w:color="000000" w:sz="4" w:space="0"/>
                                    <w:left w:val="single" w:color="000000" w:sz="4" w:space="0"/>
                                    <w:bottom w:val="single" w:color="000000" w:sz="4" w:space="0"/>
                                    <w:right w:val="single" w:color="000000" w:sz="4" w:space="0"/>
                                  </w:tcBorders>
                                  <w:vAlign w:val="center"/>
                                </w:tcPr>
                                <w:p w14:paraId="5DA737FF">
                                  <w:pPr>
                                    <w:widowControl/>
                                    <w:spacing w:line="320" w:lineRule="exact"/>
                                    <w:jc w:val="center"/>
                                    <w:textAlignment w:val="center"/>
                                    <w:rPr>
                                      <w:rFonts w:ascii="宋体" w:hAnsi="宋体" w:cs="宋体"/>
                                      <w:b/>
                                      <w:bCs/>
                                      <w:color w:val="000000"/>
                                      <w:szCs w:val="21"/>
                                    </w:rPr>
                                  </w:pPr>
                                  <w:r>
                                    <w:rPr>
                                      <w:rFonts w:hint="eastAsia" w:ascii="宋体" w:hAnsi="宋体" w:cs="宋体"/>
                                      <w:b/>
                                      <w:bCs/>
                                      <w:color w:val="000000"/>
                                      <w:szCs w:val="21"/>
                                    </w:rPr>
                                    <w:t>院长办公会</w:t>
                                  </w:r>
                                </w:p>
                              </w:tc>
                              <w:tc>
                                <w:tcPr>
                                  <w:tcW w:w="1418" w:type="dxa"/>
                                  <w:tcBorders>
                                    <w:top w:val="single" w:color="000000" w:sz="4" w:space="0"/>
                                    <w:left w:val="single" w:color="000000" w:sz="4" w:space="0"/>
                                    <w:bottom w:val="single" w:color="000000" w:sz="4" w:space="0"/>
                                    <w:right w:val="single" w:color="000000" w:sz="4" w:space="0"/>
                                  </w:tcBorders>
                                  <w:vAlign w:val="center"/>
                                </w:tcPr>
                                <w:p w14:paraId="359D9DB2">
                                  <w:pPr>
                                    <w:widowControl/>
                                    <w:spacing w:line="320" w:lineRule="exact"/>
                                    <w:jc w:val="center"/>
                                    <w:textAlignment w:val="center"/>
                                    <w:rPr>
                                      <w:rFonts w:ascii="宋体" w:hAnsi="宋体" w:cs="宋体"/>
                                      <w:b/>
                                      <w:bCs/>
                                      <w:color w:val="000000"/>
                                      <w:szCs w:val="21"/>
                                    </w:rPr>
                                  </w:pPr>
                                  <w:r>
                                    <w:rPr>
                                      <w:rFonts w:hint="eastAsia" w:ascii="宋体" w:hAnsi="宋体" w:cs="宋体"/>
                                      <w:b/>
                                      <w:bCs/>
                                      <w:color w:val="000000"/>
                                      <w:szCs w:val="21"/>
                                    </w:rPr>
                                    <w:t>党委会</w:t>
                                  </w:r>
                                </w:p>
                              </w:tc>
                            </w:tr>
                            <w:tr w14:paraId="165F3001">
                              <w:tblPrEx>
                                <w:tblCellMar>
                                  <w:top w:w="15" w:type="dxa"/>
                                  <w:left w:w="15" w:type="dxa"/>
                                  <w:bottom w:w="15" w:type="dxa"/>
                                  <w:right w:w="15" w:type="dxa"/>
                                </w:tblCellMar>
                              </w:tblPrEx>
                              <w:trPr>
                                <w:trHeight w:val="794" w:hRule="atLeast"/>
                                <w:jc w:val="center"/>
                              </w:trPr>
                              <w:tc>
                                <w:tcPr>
                                  <w:tcW w:w="1149" w:type="dxa"/>
                                  <w:tcBorders>
                                    <w:top w:val="single" w:color="000000" w:sz="4" w:space="0"/>
                                    <w:left w:val="single" w:color="000000" w:sz="4" w:space="0"/>
                                    <w:bottom w:val="single" w:color="000000" w:sz="4" w:space="0"/>
                                    <w:right w:val="single" w:color="000000" w:sz="4" w:space="0"/>
                                  </w:tcBorders>
                                  <w:vAlign w:val="center"/>
                                </w:tcPr>
                                <w:p w14:paraId="17D43281">
                                  <w:pPr>
                                    <w:widowControl/>
                                    <w:spacing w:line="320" w:lineRule="exact"/>
                                    <w:jc w:val="center"/>
                                    <w:textAlignment w:val="center"/>
                                    <w:rPr>
                                      <w:rFonts w:ascii="宋体" w:hAnsi="宋体" w:cs="宋体"/>
                                      <w:b/>
                                      <w:bCs/>
                                      <w:color w:val="000000"/>
                                      <w:szCs w:val="21"/>
                                    </w:rPr>
                                  </w:pPr>
                                  <w:r>
                                    <w:rPr>
                                      <w:rFonts w:hint="eastAsia" w:ascii="宋体" w:hAnsi="宋体" w:cs="宋体"/>
                                      <w:b/>
                                      <w:bCs/>
                                      <w:color w:val="000000"/>
                                      <w:szCs w:val="21"/>
                                    </w:rPr>
                                    <w:t>项目经费</w:t>
                                  </w:r>
                                </w:p>
                              </w:tc>
                              <w:tc>
                                <w:tcPr>
                                  <w:tcW w:w="851" w:type="dxa"/>
                                  <w:tcBorders>
                                    <w:top w:val="single" w:color="000000" w:sz="4" w:space="0"/>
                                    <w:left w:val="single" w:color="000000" w:sz="4" w:space="0"/>
                                    <w:bottom w:val="single" w:color="000000" w:sz="4" w:space="0"/>
                                    <w:right w:val="single" w:color="000000" w:sz="4" w:space="0"/>
                                  </w:tcBorders>
                                  <w:vAlign w:val="center"/>
                                </w:tcPr>
                                <w:p w14:paraId="79AA3F0B">
                                  <w:pPr>
                                    <w:widowControl/>
                                    <w:spacing w:line="320" w:lineRule="exact"/>
                                    <w:jc w:val="center"/>
                                    <w:textAlignment w:val="center"/>
                                    <w:rPr>
                                      <w:rFonts w:ascii="宋体" w:hAnsi="宋体" w:cs="宋体"/>
                                      <w:color w:val="000000"/>
                                      <w:szCs w:val="21"/>
                                    </w:rPr>
                                  </w:pPr>
                                  <w:r>
                                    <w:rPr>
                                      <w:rFonts w:hint="eastAsia" w:ascii="宋体" w:hAnsi="宋体" w:cs="宋体"/>
                                      <w:color w:val="000000"/>
                                      <w:szCs w:val="21"/>
                                    </w:rPr>
                                    <w:t>1万</w:t>
                                  </w:r>
                                </w:p>
                              </w:tc>
                              <w:tc>
                                <w:tcPr>
                                  <w:tcW w:w="1701" w:type="dxa"/>
                                  <w:tcBorders>
                                    <w:top w:val="single" w:color="000000" w:sz="4" w:space="0"/>
                                    <w:left w:val="single" w:color="000000" w:sz="4" w:space="0"/>
                                    <w:bottom w:val="single" w:color="000000" w:sz="4" w:space="0"/>
                                    <w:right w:val="single" w:color="000000" w:sz="4" w:space="0"/>
                                  </w:tcBorders>
                                  <w:vAlign w:val="center"/>
                                </w:tcPr>
                                <w:p w14:paraId="1C0034AC">
                                  <w:pPr>
                                    <w:widowControl/>
                                    <w:spacing w:line="320" w:lineRule="exact"/>
                                    <w:jc w:val="center"/>
                                    <w:textAlignment w:val="center"/>
                                    <w:rPr>
                                      <w:rFonts w:ascii="宋体" w:hAnsi="宋体" w:cs="宋体"/>
                                      <w:color w:val="000000"/>
                                      <w:szCs w:val="21"/>
                                    </w:rPr>
                                  </w:pPr>
                                  <w:r>
                                    <w:rPr>
                                      <w:rFonts w:hint="eastAsia" w:ascii="宋体" w:hAnsi="宋体" w:cs="宋体"/>
                                      <w:color w:val="000000"/>
                                      <w:szCs w:val="21"/>
                                    </w:rPr>
                                    <w:t>1万（含）</w:t>
                                  </w:r>
                                </w:p>
                                <w:p w14:paraId="600E5BFC">
                                  <w:pPr>
                                    <w:widowControl/>
                                    <w:spacing w:line="320" w:lineRule="exact"/>
                                    <w:jc w:val="center"/>
                                    <w:textAlignment w:val="center"/>
                                    <w:rPr>
                                      <w:rFonts w:ascii="宋体" w:hAnsi="宋体" w:cs="宋体"/>
                                      <w:color w:val="000000"/>
                                      <w:szCs w:val="21"/>
                                    </w:rPr>
                                  </w:pPr>
                                  <w:r>
                                    <w:rPr>
                                      <w:rFonts w:hint="eastAsia" w:ascii="宋体" w:hAnsi="宋体" w:cs="宋体"/>
                                      <w:color w:val="000000"/>
                                      <w:szCs w:val="21"/>
                                    </w:rPr>
                                    <w:t>至3万</w:t>
                                  </w:r>
                                </w:p>
                              </w:tc>
                              <w:tc>
                                <w:tcPr>
                                  <w:tcW w:w="1417" w:type="dxa"/>
                                  <w:tcBorders>
                                    <w:top w:val="single" w:color="000000" w:sz="4" w:space="0"/>
                                    <w:left w:val="single" w:color="000000" w:sz="4" w:space="0"/>
                                    <w:bottom w:val="single" w:color="000000" w:sz="4" w:space="0"/>
                                    <w:right w:val="single" w:color="000000" w:sz="4" w:space="0"/>
                                  </w:tcBorders>
                                  <w:vAlign w:val="center"/>
                                </w:tcPr>
                                <w:p w14:paraId="343A465B">
                                  <w:pPr>
                                    <w:widowControl/>
                                    <w:spacing w:line="320" w:lineRule="exact"/>
                                    <w:jc w:val="center"/>
                                    <w:textAlignment w:val="center"/>
                                    <w:rPr>
                                      <w:rFonts w:ascii="宋体" w:hAnsi="宋体" w:cs="宋体"/>
                                      <w:color w:val="000000"/>
                                      <w:szCs w:val="21"/>
                                    </w:rPr>
                                  </w:pPr>
                                  <w:r>
                                    <w:rPr>
                                      <w:rFonts w:hint="eastAsia" w:ascii="宋体" w:hAnsi="宋体" w:cs="宋体"/>
                                      <w:color w:val="000000"/>
                                      <w:szCs w:val="21"/>
                                    </w:rPr>
                                    <w:t>3万（含）至10万</w:t>
                                  </w:r>
                                </w:p>
                              </w:tc>
                              <w:tc>
                                <w:tcPr>
                                  <w:tcW w:w="1134" w:type="dxa"/>
                                  <w:tcBorders>
                                    <w:top w:val="single" w:color="000000" w:sz="4" w:space="0"/>
                                    <w:left w:val="single" w:color="000000" w:sz="4" w:space="0"/>
                                    <w:bottom w:val="single" w:color="000000" w:sz="4" w:space="0"/>
                                    <w:right w:val="single" w:color="000000" w:sz="4" w:space="0"/>
                                  </w:tcBorders>
                                  <w:vAlign w:val="center"/>
                                </w:tcPr>
                                <w:p w14:paraId="2B81D9FD">
                                  <w:pPr>
                                    <w:widowControl/>
                                    <w:spacing w:line="320" w:lineRule="exact"/>
                                    <w:jc w:val="center"/>
                                    <w:textAlignment w:val="center"/>
                                    <w:rPr>
                                      <w:rFonts w:ascii="宋体" w:hAnsi="宋体" w:cs="宋体"/>
                                      <w:color w:val="000000"/>
                                      <w:szCs w:val="21"/>
                                    </w:rPr>
                                  </w:pPr>
                                  <w:r>
                                    <w:rPr>
                                      <w:rFonts w:hint="eastAsia" w:ascii="宋体" w:hAnsi="宋体" w:cs="宋体"/>
                                      <w:color w:val="000000"/>
                                      <w:szCs w:val="21"/>
                                    </w:rPr>
                                    <w:t>-</w:t>
                                  </w:r>
                                </w:p>
                              </w:tc>
                              <w:tc>
                                <w:tcPr>
                                  <w:tcW w:w="1134" w:type="dxa"/>
                                  <w:tcBorders>
                                    <w:top w:val="single" w:color="000000" w:sz="4" w:space="0"/>
                                    <w:left w:val="single" w:color="000000" w:sz="4" w:space="0"/>
                                    <w:bottom w:val="single" w:color="000000" w:sz="4" w:space="0"/>
                                    <w:right w:val="single" w:color="000000" w:sz="4" w:space="0"/>
                                  </w:tcBorders>
                                </w:tcPr>
                                <w:p w14:paraId="1B5A9DA0">
                                  <w:pPr>
                                    <w:widowControl/>
                                    <w:spacing w:line="320" w:lineRule="exact"/>
                                    <w:jc w:val="center"/>
                                    <w:textAlignment w:val="center"/>
                                    <w:rPr>
                                      <w:rFonts w:ascii="宋体" w:hAnsi="宋体" w:cs="宋体"/>
                                      <w:color w:val="000000"/>
                                      <w:szCs w:val="21"/>
                                    </w:rPr>
                                  </w:pPr>
                                </w:p>
                                <w:p w14:paraId="3281BED5">
                                  <w:pPr>
                                    <w:widowControl/>
                                    <w:spacing w:line="320" w:lineRule="exact"/>
                                    <w:jc w:val="center"/>
                                    <w:textAlignment w:val="center"/>
                                    <w:rPr>
                                      <w:rFonts w:ascii="宋体" w:hAnsi="宋体" w:cs="宋体"/>
                                      <w:color w:val="000000"/>
                                      <w:szCs w:val="21"/>
                                    </w:rPr>
                                  </w:pPr>
                                  <w:r>
                                    <w:rPr>
                                      <w:rFonts w:hint="eastAsia" w:ascii="宋体" w:hAnsi="宋体" w:cs="宋体"/>
                                      <w:color w:val="000000"/>
                                      <w:szCs w:val="21"/>
                                    </w:rPr>
                                    <w:t>-</w:t>
                                  </w:r>
                                </w:p>
                              </w:tc>
                              <w:tc>
                                <w:tcPr>
                                  <w:tcW w:w="1418" w:type="dxa"/>
                                  <w:tcBorders>
                                    <w:top w:val="single" w:color="000000" w:sz="4" w:space="0"/>
                                    <w:left w:val="single" w:color="000000" w:sz="4" w:space="0"/>
                                    <w:bottom w:val="single" w:color="000000" w:sz="4" w:space="0"/>
                                    <w:right w:val="single" w:color="000000" w:sz="4" w:space="0"/>
                                  </w:tcBorders>
                                  <w:vAlign w:val="center"/>
                                </w:tcPr>
                                <w:p w14:paraId="1B7DEAB1">
                                  <w:pPr>
                                    <w:widowControl/>
                                    <w:spacing w:line="320" w:lineRule="exact"/>
                                    <w:jc w:val="center"/>
                                    <w:textAlignment w:val="center"/>
                                    <w:rPr>
                                      <w:rFonts w:ascii="宋体" w:hAnsi="宋体" w:cs="宋体"/>
                                      <w:color w:val="000000"/>
                                      <w:szCs w:val="21"/>
                                    </w:rPr>
                                  </w:pPr>
                                  <w:r>
                                    <w:rPr>
                                      <w:rFonts w:hint="eastAsia" w:ascii="宋体" w:hAnsi="宋体" w:cs="宋体"/>
                                      <w:color w:val="000000"/>
                                      <w:szCs w:val="21"/>
                                    </w:rPr>
                                    <w:t>10万（含）至100万</w:t>
                                  </w:r>
                                </w:p>
                              </w:tc>
                              <w:tc>
                                <w:tcPr>
                                  <w:tcW w:w="1418" w:type="dxa"/>
                                  <w:tcBorders>
                                    <w:top w:val="single" w:color="000000" w:sz="4" w:space="0"/>
                                    <w:left w:val="single" w:color="000000" w:sz="4" w:space="0"/>
                                    <w:bottom w:val="single" w:color="000000" w:sz="4" w:space="0"/>
                                    <w:right w:val="single" w:color="000000" w:sz="4" w:space="0"/>
                                  </w:tcBorders>
                                  <w:vAlign w:val="center"/>
                                </w:tcPr>
                                <w:p w14:paraId="744E3764">
                                  <w:pPr>
                                    <w:widowControl/>
                                    <w:spacing w:line="320" w:lineRule="exact"/>
                                    <w:jc w:val="center"/>
                                    <w:textAlignment w:val="center"/>
                                    <w:rPr>
                                      <w:rFonts w:ascii="宋体" w:hAnsi="宋体" w:cs="宋体"/>
                                      <w:color w:val="000000"/>
                                      <w:szCs w:val="21"/>
                                    </w:rPr>
                                  </w:pPr>
                                  <w:r>
                                    <w:rPr>
                                      <w:rFonts w:hint="eastAsia" w:ascii="宋体" w:hAnsi="宋体" w:cs="宋体"/>
                                      <w:color w:val="000000"/>
                                      <w:szCs w:val="21"/>
                                    </w:rPr>
                                    <w:t>100万以上</w:t>
                                  </w:r>
                                </w:p>
                              </w:tc>
                            </w:tr>
                            <w:tr w14:paraId="57DC694C">
                              <w:tblPrEx>
                                <w:tblCellMar>
                                  <w:top w:w="15" w:type="dxa"/>
                                  <w:left w:w="15" w:type="dxa"/>
                                  <w:bottom w:w="15" w:type="dxa"/>
                                  <w:right w:w="15" w:type="dxa"/>
                                </w:tblCellMar>
                              </w:tblPrEx>
                              <w:trPr>
                                <w:trHeight w:val="794" w:hRule="atLeast"/>
                                <w:jc w:val="center"/>
                              </w:trPr>
                              <w:tc>
                                <w:tcPr>
                                  <w:tcW w:w="1149" w:type="dxa"/>
                                  <w:tcBorders>
                                    <w:top w:val="single" w:color="000000" w:sz="4" w:space="0"/>
                                    <w:left w:val="single" w:color="000000" w:sz="4" w:space="0"/>
                                    <w:bottom w:val="single" w:color="000000" w:sz="4" w:space="0"/>
                                    <w:right w:val="single" w:color="000000" w:sz="4" w:space="0"/>
                                  </w:tcBorders>
                                  <w:vAlign w:val="center"/>
                                </w:tcPr>
                                <w:p w14:paraId="7EB9B4B2">
                                  <w:pPr>
                                    <w:widowControl/>
                                    <w:spacing w:line="320" w:lineRule="exact"/>
                                    <w:jc w:val="center"/>
                                    <w:textAlignment w:val="center"/>
                                    <w:rPr>
                                      <w:rFonts w:ascii="宋体" w:hAnsi="宋体" w:cs="宋体"/>
                                      <w:b/>
                                      <w:bCs/>
                                      <w:color w:val="000000"/>
                                      <w:szCs w:val="21"/>
                                    </w:rPr>
                                  </w:pPr>
                                  <w:r>
                                    <w:rPr>
                                      <w:rFonts w:hint="eastAsia" w:ascii="宋体" w:hAnsi="宋体" w:cs="宋体"/>
                                      <w:b/>
                                      <w:bCs/>
                                      <w:color w:val="000000"/>
                                      <w:szCs w:val="21"/>
                                    </w:rPr>
                                    <w:t>部门经费</w:t>
                                  </w:r>
                                </w:p>
                              </w:tc>
                              <w:tc>
                                <w:tcPr>
                                  <w:tcW w:w="851" w:type="dxa"/>
                                  <w:tcBorders>
                                    <w:top w:val="single" w:color="000000" w:sz="4" w:space="0"/>
                                    <w:left w:val="single" w:color="000000" w:sz="4" w:space="0"/>
                                    <w:bottom w:val="single" w:color="000000" w:sz="4" w:space="0"/>
                                    <w:right w:val="single" w:color="000000" w:sz="4" w:space="0"/>
                                  </w:tcBorders>
                                  <w:vAlign w:val="center"/>
                                </w:tcPr>
                                <w:p w14:paraId="2D8DDB8D">
                                  <w:pPr>
                                    <w:spacing w:line="320" w:lineRule="exact"/>
                                    <w:jc w:val="center"/>
                                    <w:rPr>
                                      <w:rFonts w:ascii="宋体" w:hAnsi="宋体" w:cs="宋体"/>
                                      <w:color w:val="000000"/>
                                      <w:szCs w:val="21"/>
                                    </w:rPr>
                                  </w:pPr>
                                  <w:r>
                                    <w:rPr>
                                      <w:rFonts w:hint="eastAsia" w:ascii="宋体" w:hAnsi="宋体" w:cs="宋体"/>
                                      <w:color w:val="000000"/>
                                      <w:szCs w:val="21"/>
                                    </w:rPr>
                                    <w:t>-</w:t>
                                  </w:r>
                                </w:p>
                              </w:tc>
                              <w:tc>
                                <w:tcPr>
                                  <w:tcW w:w="1701" w:type="dxa"/>
                                  <w:tcBorders>
                                    <w:top w:val="single" w:color="000000" w:sz="4" w:space="0"/>
                                    <w:left w:val="single" w:color="000000" w:sz="4" w:space="0"/>
                                    <w:bottom w:val="single" w:color="000000" w:sz="4" w:space="0"/>
                                    <w:right w:val="single" w:color="000000" w:sz="4" w:space="0"/>
                                  </w:tcBorders>
                                  <w:vAlign w:val="center"/>
                                </w:tcPr>
                                <w:p w14:paraId="638F7829">
                                  <w:pPr>
                                    <w:widowControl/>
                                    <w:spacing w:line="320" w:lineRule="exact"/>
                                    <w:jc w:val="center"/>
                                    <w:textAlignment w:val="center"/>
                                    <w:rPr>
                                      <w:rFonts w:ascii="宋体" w:hAnsi="宋体" w:cs="宋体"/>
                                      <w:color w:val="000000"/>
                                      <w:szCs w:val="21"/>
                                    </w:rPr>
                                  </w:pPr>
                                  <w:r>
                                    <w:rPr>
                                      <w:rFonts w:hint="eastAsia" w:ascii="宋体" w:hAnsi="宋体" w:cs="宋体"/>
                                      <w:color w:val="000000"/>
                                      <w:szCs w:val="21"/>
                                    </w:rPr>
                                    <w:t>3万以下</w:t>
                                  </w:r>
                                </w:p>
                              </w:tc>
                              <w:tc>
                                <w:tcPr>
                                  <w:tcW w:w="1417" w:type="dxa"/>
                                  <w:tcBorders>
                                    <w:top w:val="single" w:color="000000" w:sz="4" w:space="0"/>
                                    <w:left w:val="single" w:color="000000" w:sz="4" w:space="0"/>
                                    <w:bottom w:val="single" w:color="000000" w:sz="4" w:space="0"/>
                                    <w:right w:val="single" w:color="000000" w:sz="4" w:space="0"/>
                                  </w:tcBorders>
                                  <w:vAlign w:val="center"/>
                                </w:tcPr>
                                <w:p w14:paraId="4C9225B8">
                                  <w:pPr>
                                    <w:widowControl/>
                                    <w:spacing w:line="320" w:lineRule="exact"/>
                                    <w:jc w:val="center"/>
                                    <w:textAlignment w:val="center"/>
                                    <w:rPr>
                                      <w:rFonts w:ascii="宋体" w:hAnsi="宋体" w:cs="宋体"/>
                                      <w:color w:val="000000"/>
                                      <w:szCs w:val="21"/>
                                    </w:rPr>
                                  </w:pPr>
                                  <w:r>
                                    <w:rPr>
                                      <w:rFonts w:hint="eastAsia" w:ascii="宋体" w:hAnsi="宋体" w:cs="宋体"/>
                                      <w:color w:val="000000"/>
                                      <w:szCs w:val="21"/>
                                    </w:rPr>
                                    <w:t>3万（含）至10万</w:t>
                                  </w:r>
                                </w:p>
                              </w:tc>
                              <w:tc>
                                <w:tcPr>
                                  <w:tcW w:w="1134" w:type="dxa"/>
                                  <w:tcBorders>
                                    <w:top w:val="single" w:color="000000" w:sz="4" w:space="0"/>
                                    <w:left w:val="single" w:color="000000" w:sz="4" w:space="0"/>
                                    <w:bottom w:val="single" w:color="000000" w:sz="4" w:space="0"/>
                                    <w:right w:val="single" w:color="000000" w:sz="4" w:space="0"/>
                                  </w:tcBorders>
                                  <w:vAlign w:val="center"/>
                                </w:tcPr>
                                <w:p w14:paraId="5FFCCF70">
                                  <w:pPr>
                                    <w:widowControl/>
                                    <w:spacing w:line="320" w:lineRule="exact"/>
                                    <w:jc w:val="center"/>
                                    <w:textAlignment w:val="center"/>
                                    <w:rPr>
                                      <w:rFonts w:ascii="宋体" w:hAnsi="宋体" w:cs="宋体"/>
                                      <w:color w:val="000000"/>
                                      <w:szCs w:val="21"/>
                                    </w:rPr>
                                  </w:pPr>
                                  <w:r>
                                    <w:rPr>
                                      <w:rFonts w:hint="eastAsia" w:ascii="宋体" w:hAnsi="宋体" w:cs="宋体"/>
                                      <w:color w:val="000000"/>
                                      <w:szCs w:val="21"/>
                                    </w:rPr>
                                    <w:t>-</w:t>
                                  </w:r>
                                </w:p>
                              </w:tc>
                              <w:tc>
                                <w:tcPr>
                                  <w:tcW w:w="1134" w:type="dxa"/>
                                  <w:tcBorders>
                                    <w:top w:val="single" w:color="000000" w:sz="4" w:space="0"/>
                                    <w:left w:val="single" w:color="000000" w:sz="4" w:space="0"/>
                                    <w:bottom w:val="single" w:color="000000" w:sz="4" w:space="0"/>
                                    <w:right w:val="single" w:color="000000" w:sz="4" w:space="0"/>
                                  </w:tcBorders>
                                </w:tcPr>
                                <w:p w14:paraId="5478A484">
                                  <w:pPr>
                                    <w:widowControl/>
                                    <w:spacing w:line="320" w:lineRule="exact"/>
                                    <w:jc w:val="center"/>
                                    <w:textAlignment w:val="center"/>
                                    <w:rPr>
                                      <w:rFonts w:ascii="宋体" w:hAnsi="宋体" w:cs="宋体"/>
                                      <w:color w:val="000000"/>
                                      <w:szCs w:val="21"/>
                                    </w:rPr>
                                  </w:pPr>
                                </w:p>
                                <w:p w14:paraId="2CBC5990">
                                  <w:pPr>
                                    <w:widowControl/>
                                    <w:spacing w:line="320" w:lineRule="exact"/>
                                    <w:jc w:val="center"/>
                                    <w:textAlignment w:val="center"/>
                                    <w:rPr>
                                      <w:rFonts w:ascii="宋体" w:hAnsi="宋体" w:cs="宋体"/>
                                      <w:color w:val="000000"/>
                                      <w:szCs w:val="21"/>
                                    </w:rPr>
                                  </w:pPr>
                                  <w:r>
                                    <w:rPr>
                                      <w:rFonts w:hint="eastAsia" w:ascii="宋体" w:hAnsi="宋体" w:cs="宋体"/>
                                      <w:color w:val="000000"/>
                                      <w:szCs w:val="21"/>
                                    </w:rPr>
                                    <w:t>-</w:t>
                                  </w:r>
                                </w:p>
                              </w:tc>
                              <w:tc>
                                <w:tcPr>
                                  <w:tcW w:w="1418" w:type="dxa"/>
                                  <w:tcBorders>
                                    <w:top w:val="single" w:color="000000" w:sz="4" w:space="0"/>
                                    <w:left w:val="single" w:color="000000" w:sz="4" w:space="0"/>
                                    <w:bottom w:val="single" w:color="000000" w:sz="4" w:space="0"/>
                                    <w:right w:val="single" w:color="000000" w:sz="4" w:space="0"/>
                                  </w:tcBorders>
                                  <w:vAlign w:val="center"/>
                                </w:tcPr>
                                <w:p w14:paraId="4554A57D">
                                  <w:pPr>
                                    <w:widowControl/>
                                    <w:spacing w:line="320" w:lineRule="exact"/>
                                    <w:jc w:val="center"/>
                                    <w:textAlignment w:val="center"/>
                                    <w:rPr>
                                      <w:rFonts w:ascii="宋体" w:hAnsi="宋体" w:cs="宋体"/>
                                      <w:color w:val="000000"/>
                                      <w:szCs w:val="21"/>
                                    </w:rPr>
                                  </w:pPr>
                                  <w:r>
                                    <w:rPr>
                                      <w:rFonts w:hint="eastAsia" w:ascii="宋体" w:hAnsi="宋体" w:cs="宋体"/>
                                      <w:color w:val="000000"/>
                                      <w:szCs w:val="21"/>
                                    </w:rPr>
                                    <w:t>10万（含）至100万</w:t>
                                  </w:r>
                                </w:p>
                              </w:tc>
                              <w:tc>
                                <w:tcPr>
                                  <w:tcW w:w="1418" w:type="dxa"/>
                                  <w:tcBorders>
                                    <w:top w:val="single" w:color="000000" w:sz="4" w:space="0"/>
                                    <w:left w:val="single" w:color="000000" w:sz="4" w:space="0"/>
                                    <w:bottom w:val="single" w:color="000000" w:sz="4" w:space="0"/>
                                    <w:right w:val="single" w:color="000000" w:sz="4" w:space="0"/>
                                  </w:tcBorders>
                                  <w:vAlign w:val="center"/>
                                </w:tcPr>
                                <w:p w14:paraId="3405F117">
                                  <w:pPr>
                                    <w:widowControl/>
                                    <w:spacing w:line="320" w:lineRule="exact"/>
                                    <w:jc w:val="center"/>
                                    <w:textAlignment w:val="center"/>
                                    <w:rPr>
                                      <w:rFonts w:ascii="宋体" w:hAnsi="宋体" w:cs="宋体"/>
                                      <w:color w:val="000000"/>
                                      <w:szCs w:val="21"/>
                                    </w:rPr>
                                  </w:pPr>
                                  <w:r>
                                    <w:rPr>
                                      <w:rFonts w:hint="eastAsia" w:ascii="宋体" w:hAnsi="宋体" w:cs="宋体"/>
                                      <w:color w:val="000000"/>
                                      <w:szCs w:val="21"/>
                                    </w:rPr>
                                    <w:t>100万以上</w:t>
                                  </w:r>
                                </w:p>
                              </w:tc>
                            </w:tr>
                            <w:tr w14:paraId="378B1EBA">
                              <w:tblPrEx>
                                <w:tblCellMar>
                                  <w:top w:w="15" w:type="dxa"/>
                                  <w:left w:w="15" w:type="dxa"/>
                                  <w:bottom w:w="15" w:type="dxa"/>
                                  <w:right w:w="15" w:type="dxa"/>
                                </w:tblCellMar>
                              </w:tblPrEx>
                              <w:trPr>
                                <w:trHeight w:val="794" w:hRule="atLeast"/>
                                <w:jc w:val="center"/>
                              </w:trPr>
                              <w:tc>
                                <w:tcPr>
                                  <w:tcW w:w="1149" w:type="dxa"/>
                                  <w:tcBorders>
                                    <w:top w:val="single" w:color="000000" w:sz="4" w:space="0"/>
                                    <w:left w:val="single" w:color="000000" w:sz="4" w:space="0"/>
                                    <w:bottom w:val="single" w:color="000000" w:sz="4" w:space="0"/>
                                    <w:right w:val="single" w:color="000000" w:sz="4" w:space="0"/>
                                  </w:tcBorders>
                                  <w:vAlign w:val="center"/>
                                </w:tcPr>
                                <w:p w14:paraId="47157DDF">
                                  <w:pPr>
                                    <w:widowControl/>
                                    <w:spacing w:line="320" w:lineRule="exact"/>
                                    <w:jc w:val="center"/>
                                    <w:textAlignment w:val="center"/>
                                    <w:rPr>
                                      <w:rFonts w:ascii="宋体" w:hAnsi="宋体" w:cs="宋体"/>
                                      <w:b/>
                                      <w:bCs/>
                                      <w:color w:val="000000"/>
                                      <w:szCs w:val="21"/>
                                    </w:rPr>
                                  </w:pPr>
                                  <w:r>
                                    <w:rPr>
                                      <w:rFonts w:hint="eastAsia" w:ascii="宋体" w:hAnsi="宋体" w:cs="宋体"/>
                                      <w:b/>
                                      <w:bCs/>
                                      <w:color w:val="000000"/>
                                      <w:szCs w:val="21"/>
                                    </w:rPr>
                                    <w:t>学院</w:t>
                                  </w:r>
                                </w:p>
                                <w:p w14:paraId="6C3A9B77">
                                  <w:pPr>
                                    <w:widowControl/>
                                    <w:spacing w:line="320" w:lineRule="exact"/>
                                    <w:jc w:val="center"/>
                                    <w:textAlignment w:val="center"/>
                                    <w:rPr>
                                      <w:rFonts w:ascii="宋体" w:hAnsi="宋体" w:cs="宋体"/>
                                      <w:b/>
                                      <w:bCs/>
                                      <w:color w:val="000000"/>
                                      <w:szCs w:val="21"/>
                                    </w:rPr>
                                  </w:pPr>
                                  <w:r>
                                    <w:rPr>
                                      <w:rFonts w:hint="eastAsia" w:ascii="宋体" w:hAnsi="宋体" w:cs="宋体"/>
                                      <w:b/>
                                      <w:bCs/>
                                      <w:color w:val="000000"/>
                                      <w:szCs w:val="21"/>
                                    </w:rPr>
                                    <w:t>公共经费</w:t>
                                  </w:r>
                                </w:p>
                              </w:tc>
                              <w:tc>
                                <w:tcPr>
                                  <w:tcW w:w="851" w:type="dxa"/>
                                  <w:tcBorders>
                                    <w:top w:val="single" w:color="000000" w:sz="4" w:space="0"/>
                                    <w:left w:val="single" w:color="000000" w:sz="4" w:space="0"/>
                                    <w:bottom w:val="single" w:color="000000" w:sz="4" w:space="0"/>
                                    <w:right w:val="single" w:color="000000" w:sz="4" w:space="0"/>
                                  </w:tcBorders>
                                  <w:vAlign w:val="center"/>
                                </w:tcPr>
                                <w:p w14:paraId="3D267B68">
                                  <w:pPr>
                                    <w:spacing w:line="320" w:lineRule="exact"/>
                                    <w:jc w:val="center"/>
                                    <w:rPr>
                                      <w:rFonts w:ascii="宋体" w:hAnsi="宋体" w:cs="宋体"/>
                                      <w:color w:val="000000"/>
                                      <w:szCs w:val="21"/>
                                    </w:rPr>
                                  </w:pPr>
                                  <w:r>
                                    <w:rPr>
                                      <w:rFonts w:hint="eastAsia" w:ascii="宋体" w:hAnsi="宋体" w:cs="宋体"/>
                                      <w:color w:val="000000"/>
                                      <w:szCs w:val="21"/>
                                    </w:rPr>
                                    <w:t>-</w:t>
                                  </w:r>
                                </w:p>
                              </w:tc>
                              <w:tc>
                                <w:tcPr>
                                  <w:tcW w:w="1701" w:type="dxa"/>
                                  <w:tcBorders>
                                    <w:top w:val="single" w:color="000000" w:sz="4" w:space="0"/>
                                    <w:left w:val="single" w:color="000000" w:sz="4" w:space="0"/>
                                    <w:bottom w:val="single" w:color="000000" w:sz="4" w:space="0"/>
                                    <w:right w:val="single" w:color="000000" w:sz="4" w:space="0"/>
                                  </w:tcBorders>
                                  <w:vAlign w:val="center"/>
                                </w:tcPr>
                                <w:p w14:paraId="6942D641">
                                  <w:pPr>
                                    <w:widowControl/>
                                    <w:spacing w:line="320" w:lineRule="exact"/>
                                    <w:jc w:val="center"/>
                                    <w:textAlignment w:val="center"/>
                                    <w:rPr>
                                      <w:rFonts w:ascii="宋体" w:hAnsi="宋体" w:cs="宋体"/>
                                      <w:color w:val="000000"/>
                                      <w:szCs w:val="21"/>
                                    </w:rPr>
                                  </w:pPr>
                                  <w:r>
                                    <w:rPr>
                                      <w:rFonts w:hint="eastAsia" w:ascii="宋体" w:hAnsi="宋体" w:cs="宋体"/>
                                      <w:color w:val="000000"/>
                                      <w:szCs w:val="21"/>
                                    </w:rPr>
                                    <w:t>-</w:t>
                                  </w:r>
                                </w:p>
                              </w:tc>
                              <w:tc>
                                <w:tcPr>
                                  <w:tcW w:w="1417" w:type="dxa"/>
                                  <w:tcBorders>
                                    <w:top w:val="single" w:color="000000" w:sz="4" w:space="0"/>
                                    <w:left w:val="single" w:color="000000" w:sz="4" w:space="0"/>
                                    <w:bottom w:val="single" w:color="000000" w:sz="4" w:space="0"/>
                                    <w:right w:val="single" w:color="000000" w:sz="4" w:space="0"/>
                                  </w:tcBorders>
                                  <w:vAlign w:val="center"/>
                                </w:tcPr>
                                <w:p w14:paraId="786C3BB3">
                                  <w:pPr>
                                    <w:widowControl/>
                                    <w:spacing w:line="320" w:lineRule="exact"/>
                                    <w:jc w:val="center"/>
                                    <w:textAlignment w:val="center"/>
                                    <w:rPr>
                                      <w:rFonts w:ascii="宋体" w:hAnsi="宋体" w:cs="宋体"/>
                                      <w:color w:val="000000"/>
                                      <w:szCs w:val="21"/>
                                    </w:rPr>
                                  </w:pPr>
                                  <w:r>
                                    <w:rPr>
                                      <w:rFonts w:hint="eastAsia" w:ascii="宋体" w:hAnsi="宋体" w:cs="宋体"/>
                                      <w:color w:val="000000"/>
                                      <w:szCs w:val="21"/>
                                    </w:rPr>
                                    <w:t>-</w:t>
                                  </w:r>
                                </w:p>
                              </w:tc>
                              <w:tc>
                                <w:tcPr>
                                  <w:tcW w:w="1134" w:type="dxa"/>
                                  <w:tcBorders>
                                    <w:top w:val="single" w:color="000000" w:sz="4" w:space="0"/>
                                    <w:left w:val="single" w:color="000000" w:sz="4" w:space="0"/>
                                    <w:bottom w:val="single" w:color="000000" w:sz="4" w:space="0"/>
                                    <w:right w:val="single" w:color="000000" w:sz="4" w:space="0"/>
                                  </w:tcBorders>
                                  <w:vAlign w:val="center"/>
                                </w:tcPr>
                                <w:p w14:paraId="1A90034F">
                                  <w:pPr>
                                    <w:widowControl/>
                                    <w:spacing w:line="320" w:lineRule="exact"/>
                                    <w:jc w:val="center"/>
                                    <w:textAlignment w:val="center"/>
                                    <w:rPr>
                                      <w:rFonts w:ascii="宋体" w:hAnsi="宋体" w:cs="宋体"/>
                                      <w:color w:val="000000"/>
                                      <w:szCs w:val="21"/>
                                    </w:rPr>
                                  </w:pPr>
                                  <w:r>
                                    <w:rPr>
                                      <w:rFonts w:hint="eastAsia" w:ascii="宋体" w:hAnsi="宋体" w:cs="宋体"/>
                                      <w:color w:val="000000"/>
                                      <w:szCs w:val="21"/>
                                    </w:rPr>
                                    <w:t>10万以下</w:t>
                                  </w:r>
                                </w:p>
                              </w:tc>
                              <w:tc>
                                <w:tcPr>
                                  <w:tcW w:w="1134" w:type="dxa"/>
                                  <w:tcBorders>
                                    <w:top w:val="single" w:color="000000" w:sz="4" w:space="0"/>
                                    <w:left w:val="single" w:color="000000" w:sz="4" w:space="0"/>
                                    <w:bottom w:val="single" w:color="000000" w:sz="4" w:space="0"/>
                                    <w:right w:val="single" w:color="000000" w:sz="4" w:space="0"/>
                                  </w:tcBorders>
                                </w:tcPr>
                                <w:p w14:paraId="622ABC6F">
                                  <w:pPr>
                                    <w:widowControl/>
                                    <w:spacing w:line="320" w:lineRule="exact"/>
                                    <w:jc w:val="center"/>
                                    <w:textAlignment w:val="center"/>
                                    <w:rPr>
                                      <w:rFonts w:ascii="宋体" w:hAnsi="宋体" w:cs="宋体"/>
                                      <w:color w:val="000000"/>
                                      <w:szCs w:val="21"/>
                                    </w:rPr>
                                  </w:pPr>
                                </w:p>
                                <w:p w14:paraId="1645BFB4">
                                  <w:pPr>
                                    <w:widowControl/>
                                    <w:spacing w:line="320" w:lineRule="exact"/>
                                    <w:jc w:val="center"/>
                                    <w:textAlignment w:val="center"/>
                                    <w:rPr>
                                      <w:rFonts w:ascii="宋体" w:hAnsi="宋体" w:cs="宋体"/>
                                      <w:color w:val="000000"/>
                                      <w:szCs w:val="21"/>
                                    </w:rPr>
                                  </w:pPr>
                                  <w:r>
                                    <w:rPr>
                                      <w:rFonts w:hint="eastAsia" w:ascii="宋体" w:hAnsi="宋体" w:cs="宋体"/>
                                      <w:color w:val="000000"/>
                                      <w:szCs w:val="21"/>
                                    </w:rPr>
                                    <w:t>-</w:t>
                                  </w:r>
                                </w:p>
                              </w:tc>
                              <w:tc>
                                <w:tcPr>
                                  <w:tcW w:w="1418" w:type="dxa"/>
                                  <w:tcBorders>
                                    <w:top w:val="single" w:color="000000" w:sz="4" w:space="0"/>
                                    <w:left w:val="single" w:color="000000" w:sz="4" w:space="0"/>
                                    <w:bottom w:val="single" w:color="000000" w:sz="4" w:space="0"/>
                                    <w:right w:val="single" w:color="000000" w:sz="4" w:space="0"/>
                                  </w:tcBorders>
                                  <w:vAlign w:val="center"/>
                                </w:tcPr>
                                <w:p w14:paraId="56F2E2C5">
                                  <w:pPr>
                                    <w:widowControl/>
                                    <w:spacing w:line="320" w:lineRule="exact"/>
                                    <w:jc w:val="center"/>
                                    <w:textAlignment w:val="center"/>
                                    <w:rPr>
                                      <w:rFonts w:ascii="宋体" w:hAnsi="宋体" w:cs="宋体"/>
                                      <w:color w:val="000000"/>
                                      <w:szCs w:val="21"/>
                                    </w:rPr>
                                  </w:pPr>
                                  <w:r>
                                    <w:rPr>
                                      <w:rFonts w:hint="eastAsia" w:ascii="宋体" w:hAnsi="宋体" w:cs="宋体"/>
                                      <w:color w:val="000000"/>
                                      <w:szCs w:val="21"/>
                                    </w:rPr>
                                    <w:t>10万（含）至100万</w:t>
                                  </w:r>
                                </w:p>
                              </w:tc>
                              <w:tc>
                                <w:tcPr>
                                  <w:tcW w:w="1418" w:type="dxa"/>
                                  <w:tcBorders>
                                    <w:top w:val="single" w:color="000000" w:sz="4" w:space="0"/>
                                    <w:left w:val="single" w:color="000000" w:sz="4" w:space="0"/>
                                    <w:bottom w:val="single" w:color="000000" w:sz="4" w:space="0"/>
                                    <w:right w:val="single" w:color="000000" w:sz="4" w:space="0"/>
                                  </w:tcBorders>
                                  <w:vAlign w:val="center"/>
                                </w:tcPr>
                                <w:p w14:paraId="2128EDCE">
                                  <w:pPr>
                                    <w:widowControl/>
                                    <w:spacing w:line="320" w:lineRule="exact"/>
                                    <w:jc w:val="center"/>
                                    <w:textAlignment w:val="center"/>
                                    <w:rPr>
                                      <w:rFonts w:ascii="宋体" w:hAnsi="宋体" w:cs="宋体"/>
                                      <w:color w:val="000000"/>
                                      <w:szCs w:val="21"/>
                                    </w:rPr>
                                  </w:pPr>
                                  <w:r>
                                    <w:rPr>
                                      <w:rFonts w:hint="eastAsia" w:ascii="宋体" w:hAnsi="宋体" w:cs="宋体"/>
                                      <w:color w:val="000000"/>
                                      <w:szCs w:val="21"/>
                                    </w:rPr>
                                    <w:t>100万以上</w:t>
                                  </w:r>
                                </w:p>
                              </w:tc>
                            </w:tr>
                            <w:tr w14:paraId="1591F6B5">
                              <w:tblPrEx>
                                <w:tblCellMar>
                                  <w:top w:w="15" w:type="dxa"/>
                                  <w:left w:w="15" w:type="dxa"/>
                                  <w:bottom w:w="15" w:type="dxa"/>
                                  <w:right w:w="15" w:type="dxa"/>
                                </w:tblCellMar>
                              </w:tblPrEx>
                              <w:trPr>
                                <w:trHeight w:val="653" w:hRule="atLeast"/>
                                <w:jc w:val="center"/>
                              </w:trPr>
                              <w:tc>
                                <w:tcPr>
                                  <w:tcW w:w="1149" w:type="dxa"/>
                                  <w:tcBorders>
                                    <w:top w:val="single" w:color="000000" w:sz="4" w:space="0"/>
                                    <w:left w:val="single" w:color="000000" w:sz="4" w:space="0"/>
                                    <w:bottom w:val="single" w:color="000000" w:sz="4" w:space="0"/>
                                    <w:right w:val="single" w:color="000000" w:sz="4" w:space="0"/>
                                  </w:tcBorders>
                                  <w:vAlign w:val="center"/>
                                </w:tcPr>
                                <w:p w14:paraId="63FB9E9A">
                                  <w:pPr>
                                    <w:widowControl/>
                                    <w:spacing w:line="320" w:lineRule="exact"/>
                                    <w:jc w:val="center"/>
                                    <w:textAlignment w:val="center"/>
                                    <w:rPr>
                                      <w:rFonts w:ascii="宋体" w:hAnsi="宋体" w:cs="宋体"/>
                                      <w:b/>
                                      <w:bCs/>
                                      <w:color w:val="000000"/>
                                      <w:szCs w:val="21"/>
                                    </w:rPr>
                                  </w:pPr>
                                  <w:r>
                                    <w:rPr>
                                      <w:rFonts w:hint="eastAsia" w:ascii="宋体" w:hAnsi="宋体" w:cs="宋体"/>
                                      <w:b/>
                                      <w:bCs/>
                                      <w:color w:val="000000"/>
                                      <w:szCs w:val="21"/>
                                    </w:rPr>
                                    <w:t>机动费</w:t>
                                  </w:r>
                                </w:p>
                              </w:tc>
                              <w:tc>
                                <w:tcPr>
                                  <w:tcW w:w="851" w:type="dxa"/>
                                  <w:tcBorders>
                                    <w:top w:val="single" w:color="000000" w:sz="4" w:space="0"/>
                                    <w:left w:val="single" w:color="000000" w:sz="4" w:space="0"/>
                                    <w:bottom w:val="single" w:color="000000" w:sz="4" w:space="0"/>
                                    <w:right w:val="single" w:color="000000" w:sz="4" w:space="0"/>
                                  </w:tcBorders>
                                  <w:vAlign w:val="center"/>
                                </w:tcPr>
                                <w:p w14:paraId="6BB729F3">
                                  <w:pPr>
                                    <w:spacing w:line="320" w:lineRule="exact"/>
                                    <w:jc w:val="center"/>
                                    <w:rPr>
                                      <w:rFonts w:ascii="宋体" w:hAnsi="宋体" w:cs="宋体"/>
                                      <w:color w:val="000000"/>
                                      <w:szCs w:val="21"/>
                                    </w:rPr>
                                  </w:pPr>
                                  <w:r>
                                    <w:rPr>
                                      <w:rFonts w:hint="eastAsia" w:ascii="宋体" w:hAnsi="宋体" w:cs="宋体"/>
                                      <w:color w:val="000000"/>
                                      <w:szCs w:val="21"/>
                                    </w:rPr>
                                    <w:t>-</w:t>
                                  </w:r>
                                </w:p>
                              </w:tc>
                              <w:tc>
                                <w:tcPr>
                                  <w:tcW w:w="1701" w:type="dxa"/>
                                  <w:tcBorders>
                                    <w:top w:val="single" w:color="000000" w:sz="4" w:space="0"/>
                                    <w:left w:val="single" w:color="000000" w:sz="4" w:space="0"/>
                                    <w:bottom w:val="single" w:color="000000" w:sz="4" w:space="0"/>
                                    <w:right w:val="single" w:color="000000" w:sz="4" w:space="0"/>
                                  </w:tcBorders>
                                  <w:vAlign w:val="center"/>
                                </w:tcPr>
                                <w:p w14:paraId="0162C818">
                                  <w:pPr>
                                    <w:widowControl/>
                                    <w:spacing w:line="320" w:lineRule="exact"/>
                                    <w:jc w:val="center"/>
                                    <w:textAlignment w:val="center"/>
                                    <w:rPr>
                                      <w:rFonts w:ascii="宋体" w:hAnsi="宋体" w:cs="宋体"/>
                                      <w:color w:val="000000"/>
                                      <w:szCs w:val="21"/>
                                    </w:rPr>
                                  </w:pPr>
                                  <w:r>
                                    <w:rPr>
                                      <w:rFonts w:hint="eastAsia" w:ascii="宋体" w:hAnsi="宋体" w:cs="宋体"/>
                                      <w:color w:val="000000"/>
                                      <w:szCs w:val="21"/>
                                    </w:rPr>
                                    <w:t>-</w:t>
                                  </w:r>
                                </w:p>
                              </w:tc>
                              <w:tc>
                                <w:tcPr>
                                  <w:tcW w:w="1417" w:type="dxa"/>
                                  <w:tcBorders>
                                    <w:top w:val="single" w:color="000000" w:sz="4" w:space="0"/>
                                    <w:left w:val="single" w:color="000000" w:sz="4" w:space="0"/>
                                    <w:bottom w:val="single" w:color="000000" w:sz="4" w:space="0"/>
                                    <w:right w:val="single" w:color="000000" w:sz="4" w:space="0"/>
                                  </w:tcBorders>
                                  <w:vAlign w:val="center"/>
                                </w:tcPr>
                                <w:p w14:paraId="5E6A0B3E">
                                  <w:pPr>
                                    <w:widowControl/>
                                    <w:spacing w:line="320" w:lineRule="exact"/>
                                    <w:jc w:val="center"/>
                                    <w:textAlignment w:val="center"/>
                                    <w:rPr>
                                      <w:rFonts w:ascii="宋体" w:hAnsi="宋体" w:cs="宋体"/>
                                      <w:color w:val="000000"/>
                                      <w:szCs w:val="21"/>
                                    </w:rPr>
                                  </w:pPr>
                                  <w:r>
                                    <w:rPr>
                                      <w:rFonts w:hint="eastAsia" w:ascii="宋体" w:hAnsi="宋体" w:cs="宋体"/>
                                      <w:color w:val="000000"/>
                                      <w:szCs w:val="21"/>
                                    </w:rPr>
                                    <w:t>-</w:t>
                                  </w:r>
                                </w:p>
                              </w:tc>
                              <w:tc>
                                <w:tcPr>
                                  <w:tcW w:w="1134" w:type="dxa"/>
                                  <w:tcBorders>
                                    <w:top w:val="single" w:color="000000" w:sz="4" w:space="0"/>
                                    <w:left w:val="single" w:color="000000" w:sz="4" w:space="0"/>
                                    <w:bottom w:val="single" w:color="000000" w:sz="4" w:space="0"/>
                                    <w:right w:val="single" w:color="000000" w:sz="4" w:space="0"/>
                                  </w:tcBorders>
                                  <w:vAlign w:val="center"/>
                                </w:tcPr>
                                <w:p w14:paraId="5C1EDA88">
                                  <w:pPr>
                                    <w:widowControl/>
                                    <w:spacing w:line="320" w:lineRule="exact"/>
                                    <w:jc w:val="center"/>
                                    <w:textAlignment w:val="center"/>
                                    <w:rPr>
                                      <w:rFonts w:ascii="宋体" w:hAnsi="宋体" w:cs="宋体"/>
                                      <w:color w:val="000000"/>
                                      <w:szCs w:val="21"/>
                                    </w:rPr>
                                  </w:pPr>
                                  <w:r>
                                    <w:rPr>
                                      <w:rFonts w:hint="eastAsia" w:ascii="宋体" w:hAnsi="宋体" w:cs="宋体"/>
                                      <w:color w:val="000000"/>
                                      <w:szCs w:val="21"/>
                                    </w:rPr>
                                    <w:t>-</w:t>
                                  </w:r>
                                </w:p>
                              </w:tc>
                              <w:tc>
                                <w:tcPr>
                                  <w:tcW w:w="1134" w:type="dxa"/>
                                  <w:tcBorders>
                                    <w:top w:val="single" w:color="000000" w:sz="4" w:space="0"/>
                                    <w:left w:val="single" w:color="000000" w:sz="4" w:space="0"/>
                                    <w:bottom w:val="single" w:color="000000" w:sz="4" w:space="0"/>
                                    <w:right w:val="single" w:color="000000" w:sz="4" w:space="0"/>
                                  </w:tcBorders>
                                  <w:vAlign w:val="center"/>
                                </w:tcPr>
                                <w:p w14:paraId="65205515">
                                  <w:pPr>
                                    <w:widowControl/>
                                    <w:spacing w:line="320" w:lineRule="exact"/>
                                    <w:jc w:val="center"/>
                                    <w:textAlignment w:val="center"/>
                                    <w:rPr>
                                      <w:rFonts w:ascii="宋体" w:hAnsi="宋体" w:cs="宋体"/>
                                      <w:color w:val="000000"/>
                                      <w:szCs w:val="21"/>
                                    </w:rPr>
                                  </w:pPr>
                                  <w:r>
                                    <w:rPr>
                                      <w:rFonts w:hint="eastAsia" w:ascii="宋体" w:hAnsi="宋体" w:cs="宋体"/>
                                      <w:color w:val="000000"/>
                                      <w:szCs w:val="21"/>
                                    </w:rPr>
                                    <w:t>10万以下</w:t>
                                  </w:r>
                                </w:p>
                              </w:tc>
                              <w:tc>
                                <w:tcPr>
                                  <w:tcW w:w="1418" w:type="dxa"/>
                                  <w:tcBorders>
                                    <w:top w:val="single" w:color="000000" w:sz="4" w:space="0"/>
                                    <w:left w:val="single" w:color="000000" w:sz="4" w:space="0"/>
                                    <w:bottom w:val="single" w:color="000000" w:sz="4" w:space="0"/>
                                    <w:right w:val="single" w:color="000000" w:sz="4" w:space="0"/>
                                  </w:tcBorders>
                                  <w:vAlign w:val="center"/>
                                </w:tcPr>
                                <w:p w14:paraId="4B6E56C8">
                                  <w:pPr>
                                    <w:widowControl/>
                                    <w:spacing w:line="320" w:lineRule="exact"/>
                                    <w:jc w:val="center"/>
                                    <w:textAlignment w:val="center"/>
                                    <w:rPr>
                                      <w:rFonts w:ascii="宋体" w:hAnsi="宋体" w:cs="宋体"/>
                                      <w:color w:val="000000"/>
                                      <w:szCs w:val="21"/>
                                    </w:rPr>
                                  </w:pPr>
                                  <w:r>
                                    <w:rPr>
                                      <w:rFonts w:hint="eastAsia" w:ascii="宋体" w:hAnsi="宋体" w:cs="宋体"/>
                                      <w:color w:val="000000"/>
                                      <w:szCs w:val="21"/>
                                    </w:rPr>
                                    <w:t>10万以上</w:t>
                                  </w:r>
                                </w:p>
                              </w:tc>
                              <w:tc>
                                <w:tcPr>
                                  <w:tcW w:w="1418" w:type="dxa"/>
                                  <w:tcBorders>
                                    <w:top w:val="single" w:color="000000" w:sz="4" w:space="0"/>
                                    <w:left w:val="single" w:color="000000" w:sz="4" w:space="0"/>
                                    <w:bottom w:val="single" w:color="000000" w:sz="4" w:space="0"/>
                                    <w:right w:val="single" w:color="000000" w:sz="4" w:space="0"/>
                                  </w:tcBorders>
                                  <w:vAlign w:val="center"/>
                                </w:tcPr>
                                <w:p w14:paraId="69040A18">
                                  <w:pPr>
                                    <w:widowControl/>
                                    <w:spacing w:line="320" w:lineRule="exact"/>
                                    <w:jc w:val="center"/>
                                    <w:textAlignment w:val="center"/>
                                    <w:rPr>
                                      <w:rFonts w:ascii="宋体" w:hAnsi="宋体" w:cs="宋体"/>
                                      <w:color w:val="000000"/>
                                      <w:szCs w:val="21"/>
                                    </w:rPr>
                                  </w:pPr>
                                  <w:r>
                                    <w:rPr>
                                      <w:rFonts w:hint="eastAsia" w:ascii="宋体" w:hAnsi="宋体" w:cs="宋体"/>
                                      <w:color w:val="000000"/>
                                      <w:szCs w:val="21"/>
                                    </w:rPr>
                                    <w:t>10万以上</w:t>
                                  </w:r>
                                </w:p>
                              </w:tc>
                            </w:tr>
                          </w:tbl>
                          <w:p w14:paraId="09CCB600"/>
                        </w:txbxContent>
                      </wps:txbx>
                      <wps:bodyPr upright="1"/>
                    </wps:wsp>
                  </a:graphicData>
                </a:graphic>
              </wp:anchor>
            </w:drawing>
          </mc:Choice>
          <mc:Fallback>
            <w:pict>
              <v:shape id="_x0000_s1026" o:spid="_x0000_s1026" o:spt="202" type="#_x0000_t202" style="position:absolute;left:0pt;margin-left:-30.3pt;margin-top:12.9pt;height:233.25pt;width:523.5pt;z-index:251659264;mso-width-relative:page;mso-height-relative:page;" fillcolor="#FFFFFF" filled="t" stroked="f" coordsize="21600,21600" o:gfxdata="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AQleJc2QAAAAoBAAAPAAAAAAAAAAEAIAAAACIAAABkcnMvZG93bnJl&#10;di54bWxQSwECFAAUAAAACACHTuJA1d6lkcMBAAB8AwAADgAAAAAAAAABACAAAAAoAQAAZHJzL2Uy&#10;b0RvYy54bWxQSwUGAAAAAAYABgBZAQAAXQUAAAAA&#10;">
                <v:fill on="t" focussize="0,0"/>
                <v:stroke on="f"/>
                <v:imagedata o:title=""/>
                <o:lock v:ext="edit" aspectratio="f"/>
                <v:textbox>
                  <w:txbxContent>
                    <w:tbl>
                      <w:tblPr>
                        <w:tblStyle w:val="4"/>
                        <w:tblW w:w="10222" w:type="dxa"/>
                        <w:jc w:val="center"/>
                        <w:tblLayout w:type="fixed"/>
                        <w:tblCellMar>
                          <w:top w:w="15" w:type="dxa"/>
                          <w:left w:w="15" w:type="dxa"/>
                          <w:bottom w:w="15" w:type="dxa"/>
                          <w:right w:w="15" w:type="dxa"/>
                        </w:tblCellMar>
                      </w:tblPr>
                      <w:tblGrid>
                        <w:gridCol w:w="1149"/>
                        <w:gridCol w:w="851"/>
                        <w:gridCol w:w="1701"/>
                        <w:gridCol w:w="1417"/>
                        <w:gridCol w:w="1134"/>
                        <w:gridCol w:w="1134"/>
                        <w:gridCol w:w="1418"/>
                        <w:gridCol w:w="1418"/>
                      </w:tblGrid>
                      <w:tr w14:paraId="76E93BE7">
                        <w:tblPrEx>
                          <w:tblCellMar>
                            <w:top w:w="15" w:type="dxa"/>
                            <w:left w:w="15" w:type="dxa"/>
                            <w:bottom w:w="15" w:type="dxa"/>
                            <w:right w:w="15" w:type="dxa"/>
                          </w:tblCellMar>
                        </w:tblPrEx>
                        <w:trPr>
                          <w:trHeight w:val="1124" w:hRule="atLeast"/>
                          <w:jc w:val="center"/>
                        </w:trPr>
                        <w:tc>
                          <w:tcPr>
                            <w:tcW w:w="1149" w:type="dxa"/>
                            <w:tcBorders>
                              <w:top w:val="single" w:color="000000" w:sz="4" w:space="0"/>
                              <w:left w:val="single" w:color="000000" w:sz="4" w:space="0"/>
                              <w:bottom w:val="single" w:color="000000" w:sz="4" w:space="0"/>
                              <w:right w:val="single" w:color="000000" w:sz="4" w:space="0"/>
                            </w:tcBorders>
                            <w:vAlign w:val="center"/>
                          </w:tcPr>
                          <w:p w14:paraId="125C38FC">
                            <w:pPr>
                              <w:spacing w:line="320" w:lineRule="exact"/>
                              <w:jc w:val="center"/>
                              <w:rPr>
                                <w:rFonts w:ascii="宋体" w:hAnsi="宋体" w:cs="宋体"/>
                                <w:b/>
                                <w:bCs/>
                                <w:color w:val="000000"/>
                                <w:szCs w:val="21"/>
                              </w:rPr>
                            </w:pPr>
                            <w:r>
                              <w:rPr>
                                <w:rFonts w:hint="eastAsia" w:ascii="宋体" w:hAnsi="宋体" w:cs="宋体"/>
                                <w:b/>
                                <w:bCs/>
                                <w:color w:val="000000"/>
                                <w:szCs w:val="21"/>
                              </w:rPr>
                              <w:t>审批权限</w:t>
                            </w:r>
                          </w:p>
                        </w:tc>
                        <w:tc>
                          <w:tcPr>
                            <w:tcW w:w="851" w:type="dxa"/>
                            <w:tcBorders>
                              <w:top w:val="single" w:color="000000" w:sz="4" w:space="0"/>
                              <w:left w:val="single" w:color="000000" w:sz="4" w:space="0"/>
                              <w:bottom w:val="single" w:color="000000" w:sz="4" w:space="0"/>
                              <w:right w:val="single" w:color="000000" w:sz="4" w:space="0"/>
                            </w:tcBorders>
                            <w:vAlign w:val="center"/>
                          </w:tcPr>
                          <w:p w14:paraId="2A76E5AC">
                            <w:pPr>
                              <w:widowControl/>
                              <w:spacing w:line="320" w:lineRule="exact"/>
                              <w:jc w:val="center"/>
                              <w:textAlignment w:val="center"/>
                              <w:rPr>
                                <w:rFonts w:ascii="宋体" w:hAnsi="宋体" w:cs="宋体"/>
                                <w:b/>
                                <w:bCs/>
                                <w:color w:val="000000"/>
                                <w:szCs w:val="21"/>
                              </w:rPr>
                            </w:pPr>
                            <w:r>
                              <w:rPr>
                                <w:rFonts w:hint="eastAsia" w:ascii="宋体" w:hAnsi="宋体" w:cs="宋体"/>
                                <w:b/>
                                <w:bCs/>
                                <w:color w:val="000000"/>
                                <w:szCs w:val="21"/>
                              </w:rPr>
                              <w:t>项目负责人</w:t>
                            </w:r>
                          </w:p>
                        </w:tc>
                        <w:tc>
                          <w:tcPr>
                            <w:tcW w:w="1701" w:type="dxa"/>
                            <w:tcBorders>
                              <w:top w:val="single" w:color="000000" w:sz="4" w:space="0"/>
                              <w:left w:val="single" w:color="000000" w:sz="4" w:space="0"/>
                              <w:bottom w:val="single" w:color="000000" w:sz="4" w:space="0"/>
                              <w:right w:val="single" w:color="000000" w:sz="4" w:space="0"/>
                            </w:tcBorders>
                            <w:vAlign w:val="center"/>
                          </w:tcPr>
                          <w:p w14:paraId="1A79CE1C">
                            <w:pPr>
                              <w:widowControl/>
                              <w:spacing w:line="320" w:lineRule="exact"/>
                              <w:jc w:val="center"/>
                              <w:textAlignment w:val="center"/>
                              <w:rPr>
                                <w:rFonts w:ascii="宋体" w:hAnsi="宋体" w:cs="宋体"/>
                                <w:b/>
                                <w:bCs/>
                                <w:color w:val="000000"/>
                                <w:szCs w:val="21"/>
                              </w:rPr>
                            </w:pPr>
                            <w:r>
                              <w:rPr>
                                <w:rFonts w:hint="eastAsia" w:ascii="宋体" w:hAnsi="宋体" w:cs="宋体"/>
                                <w:b/>
                                <w:bCs/>
                                <w:color w:val="000000"/>
                                <w:szCs w:val="21"/>
                              </w:rPr>
                              <w:t>各处（室）、系（院/部）、中心（馆）负责人</w:t>
                            </w:r>
                          </w:p>
                        </w:tc>
                        <w:tc>
                          <w:tcPr>
                            <w:tcW w:w="1417" w:type="dxa"/>
                            <w:tcBorders>
                              <w:top w:val="single" w:color="000000" w:sz="4" w:space="0"/>
                              <w:left w:val="single" w:color="000000" w:sz="4" w:space="0"/>
                              <w:bottom w:val="single" w:color="000000" w:sz="4" w:space="0"/>
                              <w:right w:val="single" w:color="000000" w:sz="4" w:space="0"/>
                            </w:tcBorders>
                            <w:vAlign w:val="center"/>
                          </w:tcPr>
                          <w:p w14:paraId="17E8C17D">
                            <w:pPr>
                              <w:widowControl/>
                              <w:spacing w:line="320" w:lineRule="exact"/>
                              <w:jc w:val="center"/>
                              <w:textAlignment w:val="center"/>
                              <w:rPr>
                                <w:rFonts w:ascii="宋体" w:hAnsi="宋体" w:cs="宋体"/>
                                <w:b/>
                                <w:bCs/>
                                <w:szCs w:val="21"/>
                              </w:rPr>
                            </w:pPr>
                            <w:r>
                              <w:rPr>
                                <w:rFonts w:hint="eastAsia" w:ascii="宋体" w:hAnsi="宋体" w:cs="宋体"/>
                                <w:b/>
                                <w:bCs/>
                                <w:szCs w:val="21"/>
                              </w:rPr>
                              <w:t>分管业务院领导</w:t>
                            </w:r>
                          </w:p>
                        </w:tc>
                        <w:tc>
                          <w:tcPr>
                            <w:tcW w:w="1134" w:type="dxa"/>
                            <w:tcBorders>
                              <w:top w:val="single" w:color="000000" w:sz="4" w:space="0"/>
                              <w:left w:val="single" w:color="000000" w:sz="4" w:space="0"/>
                              <w:bottom w:val="single" w:color="000000" w:sz="4" w:space="0"/>
                              <w:right w:val="single" w:color="000000" w:sz="4" w:space="0"/>
                            </w:tcBorders>
                            <w:vAlign w:val="center"/>
                          </w:tcPr>
                          <w:p w14:paraId="1F81912B">
                            <w:pPr>
                              <w:widowControl/>
                              <w:spacing w:line="320" w:lineRule="exact"/>
                              <w:jc w:val="center"/>
                              <w:textAlignment w:val="center"/>
                              <w:rPr>
                                <w:rFonts w:ascii="宋体" w:hAnsi="宋体" w:cs="宋体"/>
                                <w:b/>
                                <w:bCs/>
                                <w:color w:val="000000"/>
                                <w:szCs w:val="21"/>
                              </w:rPr>
                            </w:pPr>
                            <w:r>
                              <w:rPr>
                                <w:rFonts w:hint="eastAsia" w:ascii="宋体" w:hAnsi="宋体" w:cs="宋体"/>
                                <w:b/>
                                <w:bCs/>
                                <w:color w:val="000000"/>
                                <w:szCs w:val="21"/>
                              </w:rPr>
                              <w:t>分管财务副院长</w:t>
                            </w:r>
                          </w:p>
                        </w:tc>
                        <w:tc>
                          <w:tcPr>
                            <w:tcW w:w="1134" w:type="dxa"/>
                            <w:tcBorders>
                              <w:top w:val="single" w:color="000000" w:sz="4" w:space="0"/>
                              <w:left w:val="single" w:color="000000" w:sz="4" w:space="0"/>
                              <w:bottom w:val="single" w:color="000000" w:sz="4" w:space="0"/>
                              <w:right w:val="single" w:color="000000" w:sz="4" w:space="0"/>
                            </w:tcBorders>
                            <w:vAlign w:val="center"/>
                          </w:tcPr>
                          <w:p w14:paraId="606B0882">
                            <w:pPr>
                              <w:widowControl/>
                              <w:spacing w:line="320" w:lineRule="exact"/>
                              <w:jc w:val="center"/>
                              <w:textAlignment w:val="center"/>
                              <w:rPr>
                                <w:rFonts w:ascii="宋体" w:hAnsi="宋体" w:cs="宋体"/>
                                <w:b/>
                                <w:bCs/>
                                <w:color w:val="000000"/>
                                <w:szCs w:val="21"/>
                              </w:rPr>
                            </w:pPr>
                            <w:r>
                              <w:rPr>
                                <w:rFonts w:hint="eastAsia" w:ascii="宋体" w:hAnsi="宋体" w:cs="宋体"/>
                                <w:b/>
                                <w:bCs/>
                                <w:color w:val="000000"/>
                                <w:szCs w:val="21"/>
                              </w:rPr>
                              <w:t>院长</w:t>
                            </w:r>
                          </w:p>
                        </w:tc>
                        <w:tc>
                          <w:tcPr>
                            <w:tcW w:w="1418" w:type="dxa"/>
                            <w:tcBorders>
                              <w:top w:val="single" w:color="000000" w:sz="4" w:space="0"/>
                              <w:left w:val="single" w:color="000000" w:sz="4" w:space="0"/>
                              <w:bottom w:val="single" w:color="000000" w:sz="4" w:space="0"/>
                              <w:right w:val="single" w:color="000000" w:sz="4" w:space="0"/>
                            </w:tcBorders>
                            <w:vAlign w:val="center"/>
                          </w:tcPr>
                          <w:p w14:paraId="5DA737FF">
                            <w:pPr>
                              <w:widowControl/>
                              <w:spacing w:line="320" w:lineRule="exact"/>
                              <w:jc w:val="center"/>
                              <w:textAlignment w:val="center"/>
                              <w:rPr>
                                <w:rFonts w:ascii="宋体" w:hAnsi="宋体" w:cs="宋体"/>
                                <w:b/>
                                <w:bCs/>
                                <w:color w:val="000000"/>
                                <w:szCs w:val="21"/>
                              </w:rPr>
                            </w:pPr>
                            <w:r>
                              <w:rPr>
                                <w:rFonts w:hint="eastAsia" w:ascii="宋体" w:hAnsi="宋体" w:cs="宋体"/>
                                <w:b/>
                                <w:bCs/>
                                <w:color w:val="000000"/>
                                <w:szCs w:val="21"/>
                              </w:rPr>
                              <w:t>院长办公会</w:t>
                            </w:r>
                          </w:p>
                        </w:tc>
                        <w:tc>
                          <w:tcPr>
                            <w:tcW w:w="1418" w:type="dxa"/>
                            <w:tcBorders>
                              <w:top w:val="single" w:color="000000" w:sz="4" w:space="0"/>
                              <w:left w:val="single" w:color="000000" w:sz="4" w:space="0"/>
                              <w:bottom w:val="single" w:color="000000" w:sz="4" w:space="0"/>
                              <w:right w:val="single" w:color="000000" w:sz="4" w:space="0"/>
                            </w:tcBorders>
                            <w:vAlign w:val="center"/>
                          </w:tcPr>
                          <w:p w14:paraId="359D9DB2">
                            <w:pPr>
                              <w:widowControl/>
                              <w:spacing w:line="320" w:lineRule="exact"/>
                              <w:jc w:val="center"/>
                              <w:textAlignment w:val="center"/>
                              <w:rPr>
                                <w:rFonts w:ascii="宋体" w:hAnsi="宋体" w:cs="宋体"/>
                                <w:b/>
                                <w:bCs/>
                                <w:color w:val="000000"/>
                                <w:szCs w:val="21"/>
                              </w:rPr>
                            </w:pPr>
                            <w:r>
                              <w:rPr>
                                <w:rFonts w:hint="eastAsia" w:ascii="宋体" w:hAnsi="宋体" w:cs="宋体"/>
                                <w:b/>
                                <w:bCs/>
                                <w:color w:val="000000"/>
                                <w:szCs w:val="21"/>
                              </w:rPr>
                              <w:t>党委会</w:t>
                            </w:r>
                          </w:p>
                        </w:tc>
                      </w:tr>
                      <w:tr w14:paraId="165F3001">
                        <w:tblPrEx>
                          <w:tblCellMar>
                            <w:top w:w="15" w:type="dxa"/>
                            <w:left w:w="15" w:type="dxa"/>
                            <w:bottom w:w="15" w:type="dxa"/>
                            <w:right w:w="15" w:type="dxa"/>
                          </w:tblCellMar>
                        </w:tblPrEx>
                        <w:trPr>
                          <w:trHeight w:val="794" w:hRule="atLeast"/>
                          <w:jc w:val="center"/>
                        </w:trPr>
                        <w:tc>
                          <w:tcPr>
                            <w:tcW w:w="1149" w:type="dxa"/>
                            <w:tcBorders>
                              <w:top w:val="single" w:color="000000" w:sz="4" w:space="0"/>
                              <w:left w:val="single" w:color="000000" w:sz="4" w:space="0"/>
                              <w:bottom w:val="single" w:color="000000" w:sz="4" w:space="0"/>
                              <w:right w:val="single" w:color="000000" w:sz="4" w:space="0"/>
                            </w:tcBorders>
                            <w:vAlign w:val="center"/>
                          </w:tcPr>
                          <w:p w14:paraId="17D43281">
                            <w:pPr>
                              <w:widowControl/>
                              <w:spacing w:line="320" w:lineRule="exact"/>
                              <w:jc w:val="center"/>
                              <w:textAlignment w:val="center"/>
                              <w:rPr>
                                <w:rFonts w:ascii="宋体" w:hAnsi="宋体" w:cs="宋体"/>
                                <w:b/>
                                <w:bCs/>
                                <w:color w:val="000000"/>
                                <w:szCs w:val="21"/>
                              </w:rPr>
                            </w:pPr>
                            <w:r>
                              <w:rPr>
                                <w:rFonts w:hint="eastAsia" w:ascii="宋体" w:hAnsi="宋体" w:cs="宋体"/>
                                <w:b/>
                                <w:bCs/>
                                <w:color w:val="000000"/>
                                <w:szCs w:val="21"/>
                              </w:rPr>
                              <w:t>项目经费</w:t>
                            </w:r>
                          </w:p>
                        </w:tc>
                        <w:tc>
                          <w:tcPr>
                            <w:tcW w:w="851" w:type="dxa"/>
                            <w:tcBorders>
                              <w:top w:val="single" w:color="000000" w:sz="4" w:space="0"/>
                              <w:left w:val="single" w:color="000000" w:sz="4" w:space="0"/>
                              <w:bottom w:val="single" w:color="000000" w:sz="4" w:space="0"/>
                              <w:right w:val="single" w:color="000000" w:sz="4" w:space="0"/>
                            </w:tcBorders>
                            <w:vAlign w:val="center"/>
                          </w:tcPr>
                          <w:p w14:paraId="79AA3F0B">
                            <w:pPr>
                              <w:widowControl/>
                              <w:spacing w:line="320" w:lineRule="exact"/>
                              <w:jc w:val="center"/>
                              <w:textAlignment w:val="center"/>
                              <w:rPr>
                                <w:rFonts w:ascii="宋体" w:hAnsi="宋体" w:cs="宋体"/>
                                <w:color w:val="000000"/>
                                <w:szCs w:val="21"/>
                              </w:rPr>
                            </w:pPr>
                            <w:r>
                              <w:rPr>
                                <w:rFonts w:hint="eastAsia" w:ascii="宋体" w:hAnsi="宋体" w:cs="宋体"/>
                                <w:color w:val="000000"/>
                                <w:szCs w:val="21"/>
                              </w:rPr>
                              <w:t>1万</w:t>
                            </w:r>
                          </w:p>
                        </w:tc>
                        <w:tc>
                          <w:tcPr>
                            <w:tcW w:w="1701" w:type="dxa"/>
                            <w:tcBorders>
                              <w:top w:val="single" w:color="000000" w:sz="4" w:space="0"/>
                              <w:left w:val="single" w:color="000000" w:sz="4" w:space="0"/>
                              <w:bottom w:val="single" w:color="000000" w:sz="4" w:space="0"/>
                              <w:right w:val="single" w:color="000000" w:sz="4" w:space="0"/>
                            </w:tcBorders>
                            <w:vAlign w:val="center"/>
                          </w:tcPr>
                          <w:p w14:paraId="1C0034AC">
                            <w:pPr>
                              <w:widowControl/>
                              <w:spacing w:line="320" w:lineRule="exact"/>
                              <w:jc w:val="center"/>
                              <w:textAlignment w:val="center"/>
                              <w:rPr>
                                <w:rFonts w:ascii="宋体" w:hAnsi="宋体" w:cs="宋体"/>
                                <w:color w:val="000000"/>
                                <w:szCs w:val="21"/>
                              </w:rPr>
                            </w:pPr>
                            <w:r>
                              <w:rPr>
                                <w:rFonts w:hint="eastAsia" w:ascii="宋体" w:hAnsi="宋体" w:cs="宋体"/>
                                <w:color w:val="000000"/>
                                <w:szCs w:val="21"/>
                              </w:rPr>
                              <w:t>1万（含）</w:t>
                            </w:r>
                          </w:p>
                          <w:p w14:paraId="600E5BFC">
                            <w:pPr>
                              <w:widowControl/>
                              <w:spacing w:line="320" w:lineRule="exact"/>
                              <w:jc w:val="center"/>
                              <w:textAlignment w:val="center"/>
                              <w:rPr>
                                <w:rFonts w:ascii="宋体" w:hAnsi="宋体" w:cs="宋体"/>
                                <w:color w:val="000000"/>
                                <w:szCs w:val="21"/>
                              </w:rPr>
                            </w:pPr>
                            <w:r>
                              <w:rPr>
                                <w:rFonts w:hint="eastAsia" w:ascii="宋体" w:hAnsi="宋体" w:cs="宋体"/>
                                <w:color w:val="000000"/>
                                <w:szCs w:val="21"/>
                              </w:rPr>
                              <w:t>至3万</w:t>
                            </w:r>
                          </w:p>
                        </w:tc>
                        <w:tc>
                          <w:tcPr>
                            <w:tcW w:w="1417" w:type="dxa"/>
                            <w:tcBorders>
                              <w:top w:val="single" w:color="000000" w:sz="4" w:space="0"/>
                              <w:left w:val="single" w:color="000000" w:sz="4" w:space="0"/>
                              <w:bottom w:val="single" w:color="000000" w:sz="4" w:space="0"/>
                              <w:right w:val="single" w:color="000000" w:sz="4" w:space="0"/>
                            </w:tcBorders>
                            <w:vAlign w:val="center"/>
                          </w:tcPr>
                          <w:p w14:paraId="343A465B">
                            <w:pPr>
                              <w:widowControl/>
                              <w:spacing w:line="320" w:lineRule="exact"/>
                              <w:jc w:val="center"/>
                              <w:textAlignment w:val="center"/>
                              <w:rPr>
                                <w:rFonts w:ascii="宋体" w:hAnsi="宋体" w:cs="宋体"/>
                                <w:color w:val="000000"/>
                                <w:szCs w:val="21"/>
                              </w:rPr>
                            </w:pPr>
                            <w:r>
                              <w:rPr>
                                <w:rFonts w:hint="eastAsia" w:ascii="宋体" w:hAnsi="宋体" w:cs="宋体"/>
                                <w:color w:val="000000"/>
                                <w:szCs w:val="21"/>
                              </w:rPr>
                              <w:t>3万（含）至10万</w:t>
                            </w:r>
                          </w:p>
                        </w:tc>
                        <w:tc>
                          <w:tcPr>
                            <w:tcW w:w="1134" w:type="dxa"/>
                            <w:tcBorders>
                              <w:top w:val="single" w:color="000000" w:sz="4" w:space="0"/>
                              <w:left w:val="single" w:color="000000" w:sz="4" w:space="0"/>
                              <w:bottom w:val="single" w:color="000000" w:sz="4" w:space="0"/>
                              <w:right w:val="single" w:color="000000" w:sz="4" w:space="0"/>
                            </w:tcBorders>
                            <w:vAlign w:val="center"/>
                          </w:tcPr>
                          <w:p w14:paraId="2B81D9FD">
                            <w:pPr>
                              <w:widowControl/>
                              <w:spacing w:line="320" w:lineRule="exact"/>
                              <w:jc w:val="center"/>
                              <w:textAlignment w:val="center"/>
                              <w:rPr>
                                <w:rFonts w:ascii="宋体" w:hAnsi="宋体" w:cs="宋体"/>
                                <w:color w:val="000000"/>
                                <w:szCs w:val="21"/>
                              </w:rPr>
                            </w:pPr>
                            <w:r>
                              <w:rPr>
                                <w:rFonts w:hint="eastAsia" w:ascii="宋体" w:hAnsi="宋体" w:cs="宋体"/>
                                <w:color w:val="000000"/>
                                <w:szCs w:val="21"/>
                              </w:rPr>
                              <w:t>-</w:t>
                            </w:r>
                          </w:p>
                        </w:tc>
                        <w:tc>
                          <w:tcPr>
                            <w:tcW w:w="1134" w:type="dxa"/>
                            <w:tcBorders>
                              <w:top w:val="single" w:color="000000" w:sz="4" w:space="0"/>
                              <w:left w:val="single" w:color="000000" w:sz="4" w:space="0"/>
                              <w:bottom w:val="single" w:color="000000" w:sz="4" w:space="0"/>
                              <w:right w:val="single" w:color="000000" w:sz="4" w:space="0"/>
                            </w:tcBorders>
                          </w:tcPr>
                          <w:p w14:paraId="1B5A9DA0">
                            <w:pPr>
                              <w:widowControl/>
                              <w:spacing w:line="320" w:lineRule="exact"/>
                              <w:jc w:val="center"/>
                              <w:textAlignment w:val="center"/>
                              <w:rPr>
                                <w:rFonts w:ascii="宋体" w:hAnsi="宋体" w:cs="宋体"/>
                                <w:color w:val="000000"/>
                                <w:szCs w:val="21"/>
                              </w:rPr>
                            </w:pPr>
                          </w:p>
                          <w:p w14:paraId="3281BED5">
                            <w:pPr>
                              <w:widowControl/>
                              <w:spacing w:line="320" w:lineRule="exact"/>
                              <w:jc w:val="center"/>
                              <w:textAlignment w:val="center"/>
                              <w:rPr>
                                <w:rFonts w:ascii="宋体" w:hAnsi="宋体" w:cs="宋体"/>
                                <w:color w:val="000000"/>
                                <w:szCs w:val="21"/>
                              </w:rPr>
                            </w:pPr>
                            <w:r>
                              <w:rPr>
                                <w:rFonts w:hint="eastAsia" w:ascii="宋体" w:hAnsi="宋体" w:cs="宋体"/>
                                <w:color w:val="000000"/>
                                <w:szCs w:val="21"/>
                              </w:rPr>
                              <w:t>-</w:t>
                            </w:r>
                          </w:p>
                        </w:tc>
                        <w:tc>
                          <w:tcPr>
                            <w:tcW w:w="1418" w:type="dxa"/>
                            <w:tcBorders>
                              <w:top w:val="single" w:color="000000" w:sz="4" w:space="0"/>
                              <w:left w:val="single" w:color="000000" w:sz="4" w:space="0"/>
                              <w:bottom w:val="single" w:color="000000" w:sz="4" w:space="0"/>
                              <w:right w:val="single" w:color="000000" w:sz="4" w:space="0"/>
                            </w:tcBorders>
                            <w:vAlign w:val="center"/>
                          </w:tcPr>
                          <w:p w14:paraId="1B7DEAB1">
                            <w:pPr>
                              <w:widowControl/>
                              <w:spacing w:line="320" w:lineRule="exact"/>
                              <w:jc w:val="center"/>
                              <w:textAlignment w:val="center"/>
                              <w:rPr>
                                <w:rFonts w:ascii="宋体" w:hAnsi="宋体" w:cs="宋体"/>
                                <w:color w:val="000000"/>
                                <w:szCs w:val="21"/>
                              </w:rPr>
                            </w:pPr>
                            <w:r>
                              <w:rPr>
                                <w:rFonts w:hint="eastAsia" w:ascii="宋体" w:hAnsi="宋体" w:cs="宋体"/>
                                <w:color w:val="000000"/>
                                <w:szCs w:val="21"/>
                              </w:rPr>
                              <w:t>10万（含）至100万</w:t>
                            </w:r>
                          </w:p>
                        </w:tc>
                        <w:tc>
                          <w:tcPr>
                            <w:tcW w:w="1418" w:type="dxa"/>
                            <w:tcBorders>
                              <w:top w:val="single" w:color="000000" w:sz="4" w:space="0"/>
                              <w:left w:val="single" w:color="000000" w:sz="4" w:space="0"/>
                              <w:bottom w:val="single" w:color="000000" w:sz="4" w:space="0"/>
                              <w:right w:val="single" w:color="000000" w:sz="4" w:space="0"/>
                            </w:tcBorders>
                            <w:vAlign w:val="center"/>
                          </w:tcPr>
                          <w:p w14:paraId="744E3764">
                            <w:pPr>
                              <w:widowControl/>
                              <w:spacing w:line="320" w:lineRule="exact"/>
                              <w:jc w:val="center"/>
                              <w:textAlignment w:val="center"/>
                              <w:rPr>
                                <w:rFonts w:ascii="宋体" w:hAnsi="宋体" w:cs="宋体"/>
                                <w:color w:val="000000"/>
                                <w:szCs w:val="21"/>
                              </w:rPr>
                            </w:pPr>
                            <w:r>
                              <w:rPr>
                                <w:rFonts w:hint="eastAsia" w:ascii="宋体" w:hAnsi="宋体" w:cs="宋体"/>
                                <w:color w:val="000000"/>
                                <w:szCs w:val="21"/>
                              </w:rPr>
                              <w:t>100万以上</w:t>
                            </w:r>
                          </w:p>
                        </w:tc>
                      </w:tr>
                      <w:tr w14:paraId="57DC694C">
                        <w:tblPrEx>
                          <w:tblCellMar>
                            <w:top w:w="15" w:type="dxa"/>
                            <w:left w:w="15" w:type="dxa"/>
                            <w:bottom w:w="15" w:type="dxa"/>
                            <w:right w:w="15" w:type="dxa"/>
                          </w:tblCellMar>
                        </w:tblPrEx>
                        <w:trPr>
                          <w:trHeight w:val="794" w:hRule="atLeast"/>
                          <w:jc w:val="center"/>
                        </w:trPr>
                        <w:tc>
                          <w:tcPr>
                            <w:tcW w:w="1149" w:type="dxa"/>
                            <w:tcBorders>
                              <w:top w:val="single" w:color="000000" w:sz="4" w:space="0"/>
                              <w:left w:val="single" w:color="000000" w:sz="4" w:space="0"/>
                              <w:bottom w:val="single" w:color="000000" w:sz="4" w:space="0"/>
                              <w:right w:val="single" w:color="000000" w:sz="4" w:space="0"/>
                            </w:tcBorders>
                            <w:vAlign w:val="center"/>
                          </w:tcPr>
                          <w:p w14:paraId="7EB9B4B2">
                            <w:pPr>
                              <w:widowControl/>
                              <w:spacing w:line="320" w:lineRule="exact"/>
                              <w:jc w:val="center"/>
                              <w:textAlignment w:val="center"/>
                              <w:rPr>
                                <w:rFonts w:ascii="宋体" w:hAnsi="宋体" w:cs="宋体"/>
                                <w:b/>
                                <w:bCs/>
                                <w:color w:val="000000"/>
                                <w:szCs w:val="21"/>
                              </w:rPr>
                            </w:pPr>
                            <w:r>
                              <w:rPr>
                                <w:rFonts w:hint="eastAsia" w:ascii="宋体" w:hAnsi="宋体" w:cs="宋体"/>
                                <w:b/>
                                <w:bCs/>
                                <w:color w:val="000000"/>
                                <w:szCs w:val="21"/>
                              </w:rPr>
                              <w:t>部门经费</w:t>
                            </w:r>
                          </w:p>
                        </w:tc>
                        <w:tc>
                          <w:tcPr>
                            <w:tcW w:w="851" w:type="dxa"/>
                            <w:tcBorders>
                              <w:top w:val="single" w:color="000000" w:sz="4" w:space="0"/>
                              <w:left w:val="single" w:color="000000" w:sz="4" w:space="0"/>
                              <w:bottom w:val="single" w:color="000000" w:sz="4" w:space="0"/>
                              <w:right w:val="single" w:color="000000" w:sz="4" w:space="0"/>
                            </w:tcBorders>
                            <w:vAlign w:val="center"/>
                          </w:tcPr>
                          <w:p w14:paraId="2D8DDB8D">
                            <w:pPr>
                              <w:spacing w:line="320" w:lineRule="exact"/>
                              <w:jc w:val="center"/>
                              <w:rPr>
                                <w:rFonts w:ascii="宋体" w:hAnsi="宋体" w:cs="宋体"/>
                                <w:color w:val="000000"/>
                                <w:szCs w:val="21"/>
                              </w:rPr>
                            </w:pPr>
                            <w:r>
                              <w:rPr>
                                <w:rFonts w:hint="eastAsia" w:ascii="宋体" w:hAnsi="宋体" w:cs="宋体"/>
                                <w:color w:val="000000"/>
                                <w:szCs w:val="21"/>
                              </w:rPr>
                              <w:t>-</w:t>
                            </w:r>
                          </w:p>
                        </w:tc>
                        <w:tc>
                          <w:tcPr>
                            <w:tcW w:w="1701" w:type="dxa"/>
                            <w:tcBorders>
                              <w:top w:val="single" w:color="000000" w:sz="4" w:space="0"/>
                              <w:left w:val="single" w:color="000000" w:sz="4" w:space="0"/>
                              <w:bottom w:val="single" w:color="000000" w:sz="4" w:space="0"/>
                              <w:right w:val="single" w:color="000000" w:sz="4" w:space="0"/>
                            </w:tcBorders>
                            <w:vAlign w:val="center"/>
                          </w:tcPr>
                          <w:p w14:paraId="638F7829">
                            <w:pPr>
                              <w:widowControl/>
                              <w:spacing w:line="320" w:lineRule="exact"/>
                              <w:jc w:val="center"/>
                              <w:textAlignment w:val="center"/>
                              <w:rPr>
                                <w:rFonts w:ascii="宋体" w:hAnsi="宋体" w:cs="宋体"/>
                                <w:color w:val="000000"/>
                                <w:szCs w:val="21"/>
                              </w:rPr>
                            </w:pPr>
                            <w:r>
                              <w:rPr>
                                <w:rFonts w:hint="eastAsia" w:ascii="宋体" w:hAnsi="宋体" w:cs="宋体"/>
                                <w:color w:val="000000"/>
                                <w:szCs w:val="21"/>
                              </w:rPr>
                              <w:t>3万以下</w:t>
                            </w:r>
                          </w:p>
                        </w:tc>
                        <w:tc>
                          <w:tcPr>
                            <w:tcW w:w="1417" w:type="dxa"/>
                            <w:tcBorders>
                              <w:top w:val="single" w:color="000000" w:sz="4" w:space="0"/>
                              <w:left w:val="single" w:color="000000" w:sz="4" w:space="0"/>
                              <w:bottom w:val="single" w:color="000000" w:sz="4" w:space="0"/>
                              <w:right w:val="single" w:color="000000" w:sz="4" w:space="0"/>
                            </w:tcBorders>
                            <w:vAlign w:val="center"/>
                          </w:tcPr>
                          <w:p w14:paraId="4C9225B8">
                            <w:pPr>
                              <w:widowControl/>
                              <w:spacing w:line="320" w:lineRule="exact"/>
                              <w:jc w:val="center"/>
                              <w:textAlignment w:val="center"/>
                              <w:rPr>
                                <w:rFonts w:ascii="宋体" w:hAnsi="宋体" w:cs="宋体"/>
                                <w:color w:val="000000"/>
                                <w:szCs w:val="21"/>
                              </w:rPr>
                            </w:pPr>
                            <w:r>
                              <w:rPr>
                                <w:rFonts w:hint="eastAsia" w:ascii="宋体" w:hAnsi="宋体" w:cs="宋体"/>
                                <w:color w:val="000000"/>
                                <w:szCs w:val="21"/>
                              </w:rPr>
                              <w:t>3万（含）至10万</w:t>
                            </w:r>
                          </w:p>
                        </w:tc>
                        <w:tc>
                          <w:tcPr>
                            <w:tcW w:w="1134" w:type="dxa"/>
                            <w:tcBorders>
                              <w:top w:val="single" w:color="000000" w:sz="4" w:space="0"/>
                              <w:left w:val="single" w:color="000000" w:sz="4" w:space="0"/>
                              <w:bottom w:val="single" w:color="000000" w:sz="4" w:space="0"/>
                              <w:right w:val="single" w:color="000000" w:sz="4" w:space="0"/>
                            </w:tcBorders>
                            <w:vAlign w:val="center"/>
                          </w:tcPr>
                          <w:p w14:paraId="5FFCCF70">
                            <w:pPr>
                              <w:widowControl/>
                              <w:spacing w:line="320" w:lineRule="exact"/>
                              <w:jc w:val="center"/>
                              <w:textAlignment w:val="center"/>
                              <w:rPr>
                                <w:rFonts w:ascii="宋体" w:hAnsi="宋体" w:cs="宋体"/>
                                <w:color w:val="000000"/>
                                <w:szCs w:val="21"/>
                              </w:rPr>
                            </w:pPr>
                            <w:r>
                              <w:rPr>
                                <w:rFonts w:hint="eastAsia" w:ascii="宋体" w:hAnsi="宋体" w:cs="宋体"/>
                                <w:color w:val="000000"/>
                                <w:szCs w:val="21"/>
                              </w:rPr>
                              <w:t>-</w:t>
                            </w:r>
                          </w:p>
                        </w:tc>
                        <w:tc>
                          <w:tcPr>
                            <w:tcW w:w="1134" w:type="dxa"/>
                            <w:tcBorders>
                              <w:top w:val="single" w:color="000000" w:sz="4" w:space="0"/>
                              <w:left w:val="single" w:color="000000" w:sz="4" w:space="0"/>
                              <w:bottom w:val="single" w:color="000000" w:sz="4" w:space="0"/>
                              <w:right w:val="single" w:color="000000" w:sz="4" w:space="0"/>
                            </w:tcBorders>
                          </w:tcPr>
                          <w:p w14:paraId="5478A484">
                            <w:pPr>
                              <w:widowControl/>
                              <w:spacing w:line="320" w:lineRule="exact"/>
                              <w:jc w:val="center"/>
                              <w:textAlignment w:val="center"/>
                              <w:rPr>
                                <w:rFonts w:ascii="宋体" w:hAnsi="宋体" w:cs="宋体"/>
                                <w:color w:val="000000"/>
                                <w:szCs w:val="21"/>
                              </w:rPr>
                            </w:pPr>
                          </w:p>
                          <w:p w14:paraId="2CBC5990">
                            <w:pPr>
                              <w:widowControl/>
                              <w:spacing w:line="320" w:lineRule="exact"/>
                              <w:jc w:val="center"/>
                              <w:textAlignment w:val="center"/>
                              <w:rPr>
                                <w:rFonts w:ascii="宋体" w:hAnsi="宋体" w:cs="宋体"/>
                                <w:color w:val="000000"/>
                                <w:szCs w:val="21"/>
                              </w:rPr>
                            </w:pPr>
                            <w:r>
                              <w:rPr>
                                <w:rFonts w:hint="eastAsia" w:ascii="宋体" w:hAnsi="宋体" w:cs="宋体"/>
                                <w:color w:val="000000"/>
                                <w:szCs w:val="21"/>
                              </w:rPr>
                              <w:t>-</w:t>
                            </w:r>
                          </w:p>
                        </w:tc>
                        <w:tc>
                          <w:tcPr>
                            <w:tcW w:w="1418" w:type="dxa"/>
                            <w:tcBorders>
                              <w:top w:val="single" w:color="000000" w:sz="4" w:space="0"/>
                              <w:left w:val="single" w:color="000000" w:sz="4" w:space="0"/>
                              <w:bottom w:val="single" w:color="000000" w:sz="4" w:space="0"/>
                              <w:right w:val="single" w:color="000000" w:sz="4" w:space="0"/>
                            </w:tcBorders>
                            <w:vAlign w:val="center"/>
                          </w:tcPr>
                          <w:p w14:paraId="4554A57D">
                            <w:pPr>
                              <w:widowControl/>
                              <w:spacing w:line="320" w:lineRule="exact"/>
                              <w:jc w:val="center"/>
                              <w:textAlignment w:val="center"/>
                              <w:rPr>
                                <w:rFonts w:ascii="宋体" w:hAnsi="宋体" w:cs="宋体"/>
                                <w:color w:val="000000"/>
                                <w:szCs w:val="21"/>
                              </w:rPr>
                            </w:pPr>
                            <w:r>
                              <w:rPr>
                                <w:rFonts w:hint="eastAsia" w:ascii="宋体" w:hAnsi="宋体" w:cs="宋体"/>
                                <w:color w:val="000000"/>
                                <w:szCs w:val="21"/>
                              </w:rPr>
                              <w:t>10万（含）至100万</w:t>
                            </w:r>
                          </w:p>
                        </w:tc>
                        <w:tc>
                          <w:tcPr>
                            <w:tcW w:w="1418" w:type="dxa"/>
                            <w:tcBorders>
                              <w:top w:val="single" w:color="000000" w:sz="4" w:space="0"/>
                              <w:left w:val="single" w:color="000000" w:sz="4" w:space="0"/>
                              <w:bottom w:val="single" w:color="000000" w:sz="4" w:space="0"/>
                              <w:right w:val="single" w:color="000000" w:sz="4" w:space="0"/>
                            </w:tcBorders>
                            <w:vAlign w:val="center"/>
                          </w:tcPr>
                          <w:p w14:paraId="3405F117">
                            <w:pPr>
                              <w:widowControl/>
                              <w:spacing w:line="320" w:lineRule="exact"/>
                              <w:jc w:val="center"/>
                              <w:textAlignment w:val="center"/>
                              <w:rPr>
                                <w:rFonts w:ascii="宋体" w:hAnsi="宋体" w:cs="宋体"/>
                                <w:color w:val="000000"/>
                                <w:szCs w:val="21"/>
                              </w:rPr>
                            </w:pPr>
                            <w:r>
                              <w:rPr>
                                <w:rFonts w:hint="eastAsia" w:ascii="宋体" w:hAnsi="宋体" w:cs="宋体"/>
                                <w:color w:val="000000"/>
                                <w:szCs w:val="21"/>
                              </w:rPr>
                              <w:t>100万以上</w:t>
                            </w:r>
                          </w:p>
                        </w:tc>
                      </w:tr>
                      <w:tr w14:paraId="378B1EBA">
                        <w:tblPrEx>
                          <w:tblCellMar>
                            <w:top w:w="15" w:type="dxa"/>
                            <w:left w:w="15" w:type="dxa"/>
                            <w:bottom w:w="15" w:type="dxa"/>
                            <w:right w:w="15" w:type="dxa"/>
                          </w:tblCellMar>
                        </w:tblPrEx>
                        <w:trPr>
                          <w:trHeight w:val="794" w:hRule="atLeast"/>
                          <w:jc w:val="center"/>
                        </w:trPr>
                        <w:tc>
                          <w:tcPr>
                            <w:tcW w:w="1149" w:type="dxa"/>
                            <w:tcBorders>
                              <w:top w:val="single" w:color="000000" w:sz="4" w:space="0"/>
                              <w:left w:val="single" w:color="000000" w:sz="4" w:space="0"/>
                              <w:bottom w:val="single" w:color="000000" w:sz="4" w:space="0"/>
                              <w:right w:val="single" w:color="000000" w:sz="4" w:space="0"/>
                            </w:tcBorders>
                            <w:vAlign w:val="center"/>
                          </w:tcPr>
                          <w:p w14:paraId="47157DDF">
                            <w:pPr>
                              <w:widowControl/>
                              <w:spacing w:line="320" w:lineRule="exact"/>
                              <w:jc w:val="center"/>
                              <w:textAlignment w:val="center"/>
                              <w:rPr>
                                <w:rFonts w:ascii="宋体" w:hAnsi="宋体" w:cs="宋体"/>
                                <w:b/>
                                <w:bCs/>
                                <w:color w:val="000000"/>
                                <w:szCs w:val="21"/>
                              </w:rPr>
                            </w:pPr>
                            <w:r>
                              <w:rPr>
                                <w:rFonts w:hint="eastAsia" w:ascii="宋体" w:hAnsi="宋体" w:cs="宋体"/>
                                <w:b/>
                                <w:bCs/>
                                <w:color w:val="000000"/>
                                <w:szCs w:val="21"/>
                              </w:rPr>
                              <w:t>学院</w:t>
                            </w:r>
                          </w:p>
                          <w:p w14:paraId="6C3A9B77">
                            <w:pPr>
                              <w:widowControl/>
                              <w:spacing w:line="320" w:lineRule="exact"/>
                              <w:jc w:val="center"/>
                              <w:textAlignment w:val="center"/>
                              <w:rPr>
                                <w:rFonts w:ascii="宋体" w:hAnsi="宋体" w:cs="宋体"/>
                                <w:b/>
                                <w:bCs/>
                                <w:color w:val="000000"/>
                                <w:szCs w:val="21"/>
                              </w:rPr>
                            </w:pPr>
                            <w:r>
                              <w:rPr>
                                <w:rFonts w:hint="eastAsia" w:ascii="宋体" w:hAnsi="宋体" w:cs="宋体"/>
                                <w:b/>
                                <w:bCs/>
                                <w:color w:val="000000"/>
                                <w:szCs w:val="21"/>
                              </w:rPr>
                              <w:t>公共经费</w:t>
                            </w:r>
                          </w:p>
                        </w:tc>
                        <w:tc>
                          <w:tcPr>
                            <w:tcW w:w="851" w:type="dxa"/>
                            <w:tcBorders>
                              <w:top w:val="single" w:color="000000" w:sz="4" w:space="0"/>
                              <w:left w:val="single" w:color="000000" w:sz="4" w:space="0"/>
                              <w:bottom w:val="single" w:color="000000" w:sz="4" w:space="0"/>
                              <w:right w:val="single" w:color="000000" w:sz="4" w:space="0"/>
                            </w:tcBorders>
                            <w:vAlign w:val="center"/>
                          </w:tcPr>
                          <w:p w14:paraId="3D267B68">
                            <w:pPr>
                              <w:spacing w:line="320" w:lineRule="exact"/>
                              <w:jc w:val="center"/>
                              <w:rPr>
                                <w:rFonts w:ascii="宋体" w:hAnsi="宋体" w:cs="宋体"/>
                                <w:color w:val="000000"/>
                                <w:szCs w:val="21"/>
                              </w:rPr>
                            </w:pPr>
                            <w:r>
                              <w:rPr>
                                <w:rFonts w:hint="eastAsia" w:ascii="宋体" w:hAnsi="宋体" w:cs="宋体"/>
                                <w:color w:val="000000"/>
                                <w:szCs w:val="21"/>
                              </w:rPr>
                              <w:t>-</w:t>
                            </w:r>
                          </w:p>
                        </w:tc>
                        <w:tc>
                          <w:tcPr>
                            <w:tcW w:w="1701" w:type="dxa"/>
                            <w:tcBorders>
                              <w:top w:val="single" w:color="000000" w:sz="4" w:space="0"/>
                              <w:left w:val="single" w:color="000000" w:sz="4" w:space="0"/>
                              <w:bottom w:val="single" w:color="000000" w:sz="4" w:space="0"/>
                              <w:right w:val="single" w:color="000000" w:sz="4" w:space="0"/>
                            </w:tcBorders>
                            <w:vAlign w:val="center"/>
                          </w:tcPr>
                          <w:p w14:paraId="6942D641">
                            <w:pPr>
                              <w:widowControl/>
                              <w:spacing w:line="320" w:lineRule="exact"/>
                              <w:jc w:val="center"/>
                              <w:textAlignment w:val="center"/>
                              <w:rPr>
                                <w:rFonts w:ascii="宋体" w:hAnsi="宋体" w:cs="宋体"/>
                                <w:color w:val="000000"/>
                                <w:szCs w:val="21"/>
                              </w:rPr>
                            </w:pPr>
                            <w:r>
                              <w:rPr>
                                <w:rFonts w:hint="eastAsia" w:ascii="宋体" w:hAnsi="宋体" w:cs="宋体"/>
                                <w:color w:val="000000"/>
                                <w:szCs w:val="21"/>
                              </w:rPr>
                              <w:t>-</w:t>
                            </w:r>
                          </w:p>
                        </w:tc>
                        <w:tc>
                          <w:tcPr>
                            <w:tcW w:w="1417" w:type="dxa"/>
                            <w:tcBorders>
                              <w:top w:val="single" w:color="000000" w:sz="4" w:space="0"/>
                              <w:left w:val="single" w:color="000000" w:sz="4" w:space="0"/>
                              <w:bottom w:val="single" w:color="000000" w:sz="4" w:space="0"/>
                              <w:right w:val="single" w:color="000000" w:sz="4" w:space="0"/>
                            </w:tcBorders>
                            <w:vAlign w:val="center"/>
                          </w:tcPr>
                          <w:p w14:paraId="786C3BB3">
                            <w:pPr>
                              <w:widowControl/>
                              <w:spacing w:line="320" w:lineRule="exact"/>
                              <w:jc w:val="center"/>
                              <w:textAlignment w:val="center"/>
                              <w:rPr>
                                <w:rFonts w:ascii="宋体" w:hAnsi="宋体" w:cs="宋体"/>
                                <w:color w:val="000000"/>
                                <w:szCs w:val="21"/>
                              </w:rPr>
                            </w:pPr>
                            <w:r>
                              <w:rPr>
                                <w:rFonts w:hint="eastAsia" w:ascii="宋体" w:hAnsi="宋体" w:cs="宋体"/>
                                <w:color w:val="000000"/>
                                <w:szCs w:val="21"/>
                              </w:rPr>
                              <w:t>-</w:t>
                            </w:r>
                          </w:p>
                        </w:tc>
                        <w:tc>
                          <w:tcPr>
                            <w:tcW w:w="1134" w:type="dxa"/>
                            <w:tcBorders>
                              <w:top w:val="single" w:color="000000" w:sz="4" w:space="0"/>
                              <w:left w:val="single" w:color="000000" w:sz="4" w:space="0"/>
                              <w:bottom w:val="single" w:color="000000" w:sz="4" w:space="0"/>
                              <w:right w:val="single" w:color="000000" w:sz="4" w:space="0"/>
                            </w:tcBorders>
                            <w:vAlign w:val="center"/>
                          </w:tcPr>
                          <w:p w14:paraId="1A90034F">
                            <w:pPr>
                              <w:widowControl/>
                              <w:spacing w:line="320" w:lineRule="exact"/>
                              <w:jc w:val="center"/>
                              <w:textAlignment w:val="center"/>
                              <w:rPr>
                                <w:rFonts w:ascii="宋体" w:hAnsi="宋体" w:cs="宋体"/>
                                <w:color w:val="000000"/>
                                <w:szCs w:val="21"/>
                              </w:rPr>
                            </w:pPr>
                            <w:r>
                              <w:rPr>
                                <w:rFonts w:hint="eastAsia" w:ascii="宋体" w:hAnsi="宋体" w:cs="宋体"/>
                                <w:color w:val="000000"/>
                                <w:szCs w:val="21"/>
                              </w:rPr>
                              <w:t>10万以下</w:t>
                            </w:r>
                          </w:p>
                        </w:tc>
                        <w:tc>
                          <w:tcPr>
                            <w:tcW w:w="1134" w:type="dxa"/>
                            <w:tcBorders>
                              <w:top w:val="single" w:color="000000" w:sz="4" w:space="0"/>
                              <w:left w:val="single" w:color="000000" w:sz="4" w:space="0"/>
                              <w:bottom w:val="single" w:color="000000" w:sz="4" w:space="0"/>
                              <w:right w:val="single" w:color="000000" w:sz="4" w:space="0"/>
                            </w:tcBorders>
                          </w:tcPr>
                          <w:p w14:paraId="622ABC6F">
                            <w:pPr>
                              <w:widowControl/>
                              <w:spacing w:line="320" w:lineRule="exact"/>
                              <w:jc w:val="center"/>
                              <w:textAlignment w:val="center"/>
                              <w:rPr>
                                <w:rFonts w:ascii="宋体" w:hAnsi="宋体" w:cs="宋体"/>
                                <w:color w:val="000000"/>
                                <w:szCs w:val="21"/>
                              </w:rPr>
                            </w:pPr>
                          </w:p>
                          <w:p w14:paraId="1645BFB4">
                            <w:pPr>
                              <w:widowControl/>
                              <w:spacing w:line="320" w:lineRule="exact"/>
                              <w:jc w:val="center"/>
                              <w:textAlignment w:val="center"/>
                              <w:rPr>
                                <w:rFonts w:ascii="宋体" w:hAnsi="宋体" w:cs="宋体"/>
                                <w:color w:val="000000"/>
                                <w:szCs w:val="21"/>
                              </w:rPr>
                            </w:pPr>
                            <w:r>
                              <w:rPr>
                                <w:rFonts w:hint="eastAsia" w:ascii="宋体" w:hAnsi="宋体" w:cs="宋体"/>
                                <w:color w:val="000000"/>
                                <w:szCs w:val="21"/>
                              </w:rPr>
                              <w:t>-</w:t>
                            </w:r>
                          </w:p>
                        </w:tc>
                        <w:tc>
                          <w:tcPr>
                            <w:tcW w:w="1418" w:type="dxa"/>
                            <w:tcBorders>
                              <w:top w:val="single" w:color="000000" w:sz="4" w:space="0"/>
                              <w:left w:val="single" w:color="000000" w:sz="4" w:space="0"/>
                              <w:bottom w:val="single" w:color="000000" w:sz="4" w:space="0"/>
                              <w:right w:val="single" w:color="000000" w:sz="4" w:space="0"/>
                            </w:tcBorders>
                            <w:vAlign w:val="center"/>
                          </w:tcPr>
                          <w:p w14:paraId="56F2E2C5">
                            <w:pPr>
                              <w:widowControl/>
                              <w:spacing w:line="320" w:lineRule="exact"/>
                              <w:jc w:val="center"/>
                              <w:textAlignment w:val="center"/>
                              <w:rPr>
                                <w:rFonts w:ascii="宋体" w:hAnsi="宋体" w:cs="宋体"/>
                                <w:color w:val="000000"/>
                                <w:szCs w:val="21"/>
                              </w:rPr>
                            </w:pPr>
                            <w:r>
                              <w:rPr>
                                <w:rFonts w:hint="eastAsia" w:ascii="宋体" w:hAnsi="宋体" w:cs="宋体"/>
                                <w:color w:val="000000"/>
                                <w:szCs w:val="21"/>
                              </w:rPr>
                              <w:t>10万（含）至100万</w:t>
                            </w:r>
                          </w:p>
                        </w:tc>
                        <w:tc>
                          <w:tcPr>
                            <w:tcW w:w="1418" w:type="dxa"/>
                            <w:tcBorders>
                              <w:top w:val="single" w:color="000000" w:sz="4" w:space="0"/>
                              <w:left w:val="single" w:color="000000" w:sz="4" w:space="0"/>
                              <w:bottom w:val="single" w:color="000000" w:sz="4" w:space="0"/>
                              <w:right w:val="single" w:color="000000" w:sz="4" w:space="0"/>
                            </w:tcBorders>
                            <w:vAlign w:val="center"/>
                          </w:tcPr>
                          <w:p w14:paraId="2128EDCE">
                            <w:pPr>
                              <w:widowControl/>
                              <w:spacing w:line="320" w:lineRule="exact"/>
                              <w:jc w:val="center"/>
                              <w:textAlignment w:val="center"/>
                              <w:rPr>
                                <w:rFonts w:ascii="宋体" w:hAnsi="宋体" w:cs="宋体"/>
                                <w:color w:val="000000"/>
                                <w:szCs w:val="21"/>
                              </w:rPr>
                            </w:pPr>
                            <w:r>
                              <w:rPr>
                                <w:rFonts w:hint="eastAsia" w:ascii="宋体" w:hAnsi="宋体" w:cs="宋体"/>
                                <w:color w:val="000000"/>
                                <w:szCs w:val="21"/>
                              </w:rPr>
                              <w:t>100万以上</w:t>
                            </w:r>
                          </w:p>
                        </w:tc>
                      </w:tr>
                      <w:tr w14:paraId="1591F6B5">
                        <w:tblPrEx>
                          <w:tblCellMar>
                            <w:top w:w="15" w:type="dxa"/>
                            <w:left w:w="15" w:type="dxa"/>
                            <w:bottom w:w="15" w:type="dxa"/>
                            <w:right w:w="15" w:type="dxa"/>
                          </w:tblCellMar>
                        </w:tblPrEx>
                        <w:trPr>
                          <w:trHeight w:val="653" w:hRule="atLeast"/>
                          <w:jc w:val="center"/>
                        </w:trPr>
                        <w:tc>
                          <w:tcPr>
                            <w:tcW w:w="1149" w:type="dxa"/>
                            <w:tcBorders>
                              <w:top w:val="single" w:color="000000" w:sz="4" w:space="0"/>
                              <w:left w:val="single" w:color="000000" w:sz="4" w:space="0"/>
                              <w:bottom w:val="single" w:color="000000" w:sz="4" w:space="0"/>
                              <w:right w:val="single" w:color="000000" w:sz="4" w:space="0"/>
                            </w:tcBorders>
                            <w:vAlign w:val="center"/>
                          </w:tcPr>
                          <w:p w14:paraId="63FB9E9A">
                            <w:pPr>
                              <w:widowControl/>
                              <w:spacing w:line="320" w:lineRule="exact"/>
                              <w:jc w:val="center"/>
                              <w:textAlignment w:val="center"/>
                              <w:rPr>
                                <w:rFonts w:ascii="宋体" w:hAnsi="宋体" w:cs="宋体"/>
                                <w:b/>
                                <w:bCs/>
                                <w:color w:val="000000"/>
                                <w:szCs w:val="21"/>
                              </w:rPr>
                            </w:pPr>
                            <w:r>
                              <w:rPr>
                                <w:rFonts w:hint="eastAsia" w:ascii="宋体" w:hAnsi="宋体" w:cs="宋体"/>
                                <w:b/>
                                <w:bCs/>
                                <w:color w:val="000000"/>
                                <w:szCs w:val="21"/>
                              </w:rPr>
                              <w:t>机动费</w:t>
                            </w:r>
                          </w:p>
                        </w:tc>
                        <w:tc>
                          <w:tcPr>
                            <w:tcW w:w="851" w:type="dxa"/>
                            <w:tcBorders>
                              <w:top w:val="single" w:color="000000" w:sz="4" w:space="0"/>
                              <w:left w:val="single" w:color="000000" w:sz="4" w:space="0"/>
                              <w:bottom w:val="single" w:color="000000" w:sz="4" w:space="0"/>
                              <w:right w:val="single" w:color="000000" w:sz="4" w:space="0"/>
                            </w:tcBorders>
                            <w:vAlign w:val="center"/>
                          </w:tcPr>
                          <w:p w14:paraId="6BB729F3">
                            <w:pPr>
                              <w:spacing w:line="320" w:lineRule="exact"/>
                              <w:jc w:val="center"/>
                              <w:rPr>
                                <w:rFonts w:ascii="宋体" w:hAnsi="宋体" w:cs="宋体"/>
                                <w:color w:val="000000"/>
                                <w:szCs w:val="21"/>
                              </w:rPr>
                            </w:pPr>
                            <w:r>
                              <w:rPr>
                                <w:rFonts w:hint="eastAsia" w:ascii="宋体" w:hAnsi="宋体" w:cs="宋体"/>
                                <w:color w:val="000000"/>
                                <w:szCs w:val="21"/>
                              </w:rPr>
                              <w:t>-</w:t>
                            </w:r>
                          </w:p>
                        </w:tc>
                        <w:tc>
                          <w:tcPr>
                            <w:tcW w:w="1701" w:type="dxa"/>
                            <w:tcBorders>
                              <w:top w:val="single" w:color="000000" w:sz="4" w:space="0"/>
                              <w:left w:val="single" w:color="000000" w:sz="4" w:space="0"/>
                              <w:bottom w:val="single" w:color="000000" w:sz="4" w:space="0"/>
                              <w:right w:val="single" w:color="000000" w:sz="4" w:space="0"/>
                            </w:tcBorders>
                            <w:vAlign w:val="center"/>
                          </w:tcPr>
                          <w:p w14:paraId="0162C818">
                            <w:pPr>
                              <w:widowControl/>
                              <w:spacing w:line="320" w:lineRule="exact"/>
                              <w:jc w:val="center"/>
                              <w:textAlignment w:val="center"/>
                              <w:rPr>
                                <w:rFonts w:ascii="宋体" w:hAnsi="宋体" w:cs="宋体"/>
                                <w:color w:val="000000"/>
                                <w:szCs w:val="21"/>
                              </w:rPr>
                            </w:pPr>
                            <w:r>
                              <w:rPr>
                                <w:rFonts w:hint="eastAsia" w:ascii="宋体" w:hAnsi="宋体" w:cs="宋体"/>
                                <w:color w:val="000000"/>
                                <w:szCs w:val="21"/>
                              </w:rPr>
                              <w:t>-</w:t>
                            </w:r>
                          </w:p>
                        </w:tc>
                        <w:tc>
                          <w:tcPr>
                            <w:tcW w:w="1417" w:type="dxa"/>
                            <w:tcBorders>
                              <w:top w:val="single" w:color="000000" w:sz="4" w:space="0"/>
                              <w:left w:val="single" w:color="000000" w:sz="4" w:space="0"/>
                              <w:bottom w:val="single" w:color="000000" w:sz="4" w:space="0"/>
                              <w:right w:val="single" w:color="000000" w:sz="4" w:space="0"/>
                            </w:tcBorders>
                            <w:vAlign w:val="center"/>
                          </w:tcPr>
                          <w:p w14:paraId="5E6A0B3E">
                            <w:pPr>
                              <w:widowControl/>
                              <w:spacing w:line="320" w:lineRule="exact"/>
                              <w:jc w:val="center"/>
                              <w:textAlignment w:val="center"/>
                              <w:rPr>
                                <w:rFonts w:ascii="宋体" w:hAnsi="宋体" w:cs="宋体"/>
                                <w:color w:val="000000"/>
                                <w:szCs w:val="21"/>
                              </w:rPr>
                            </w:pPr>
                            <w:r>
                              <w:rPr>
                                <w:rFonts w:hint="eastAsia" w:ascii="宋体" w:hAnsi="宋体" w:cs="宋体"/>
                                <w:color w:val="000000"/>
                                <w:szCs w:val="21"/>
                              </w:rPr>
                              <w:t>-</w:t>
                            </w:r>
                          </w:p>
                        </w:tc>
                        <w:tc>
                          <w:tcPr>
                            <w:tcW w:w="1134" w:type="dxa"/>
                            <w:tcBorders>
                              <w:top w:val="single" w:color="000000" w:sz="4" w:space="0"/>
                              <w:left w:val="single" w:color="000000" w:sz="4" w:space="0"/>
                              <w:bottom w:val="single" w:color="000000" w:sz="4" w:space="0"/>
                              <w:right w:val="single" w:color="000000" w:sz="4" w:space="0"/>
                            </w:tcBorders>
                            <w:vAlign w:val="center"/>
                          </w:tcPr>
                          <w:p w14:paraId="5C1EDA88">
                            <w:pPr>
                              <w:widowControl/>
                              <w:spacing w:line="320" w:lineRule="exact"/>
                              <w:jc w:val="center"/>
                              <w:textAlignment w:val="center"/>
                              <w:rPr>
                                <w:rFonts w:ascii="宋体" w:hAnsi="宋体" w:cs="宋体"/>
                                <w:color w:val="000000"/>
                                <w:szCs w:val="21"/>
                              </w:rPr>
                            </w:pPr>
                            <w:r>
                              <w:rPr>
                                <w:rFonts w:hint="eastAsia" w:ascii="宋体" w:hAnsi="宋体" w:cs="宋体"/>
                                <w:color w:val="000000"/>
                                <w:szCs w:val="21"/>
                              </w:rPr>
                              <w:t>-</w:t>
                            </w:r>
                          </w:p>
                        </w:tc>
                        <w:tc>
                          <w:tcPr>
                            <w:tcW w:w="1134" w:type="dxa"/>
                            <w:tcBorders>
                              <w:top w:val="single" w:color="000000" w:sz="4" w:space="0"/>
                              <w:left w:val="single" w:color="000000" w:sz="4" w:space="0"/>
                              <w:bottom w:val="single" w:color="000000" w:sz="4" w:space="0"/>
                              <w:right w:val="single" w:color="000000" w:sz="4" w:space="0"/>
                            </w:tcBorders>
                            <w:vAlign w:val="center"/>
                          </w:tcPr>
                          <w:p w14:paraId="65205515">
                            <w:pPr>
                              <w:widowControl/>
                              <w:spacing w:line="320" w:lineRule="exact"/>
                              <w:jc w:val="center"/>
                              <w:textAlignment w:val="center"/>
                              <w:rPr>
                                <w:rFonts w:ascii="宋体" w:hAnsi="宋体" w:cs="宋体"/>
                                <w:color w:val="000000"/>
                                <w:szCs w:val="21"/>
                              </w:rPr>
                            </w:pPr>
                            <w:r>
                              <w:rPr>
                                <w:rFonts w:hint="eastAsia" w:ascii="宋体" w:hAnsi="宋体" w:cs="宋体"/>
                                <w:color w:val="000000"/>
                                <w:szCs w:val="21"/>
                              </w:rPr>
                              <w:t>10万以下</w:t>
                            </w:r>
                          </w:p>
                        </w:tc>
                        <w:tc>
                          <w:tcPr>
                            <w:tcW w:w="1418" w:type="dxa"/>
                            <w:tcBorders>
                              <w:top w:val="single" w:color="000000" w:sz="4" w:space="0"/>
                              <w:left w:val="single" w:color="000000" w:sz="4" w:space="0"/>
                              <w:bottom w:val="single" w:color="000000" w:sz="4" w:space="0"/>
                              <w:right w:val="single" w:color="000000" w:sz="4" w:space="0"/>
                            </w:tcBorders>
                            <w:vAlign w:val="center"/>
                          </w:tcPr>
                          <w:p w14:paraId="4B6E56C8">
                            <w:pPr>
                              <w:widowControl/>
                              <w:spacing w:line="320" w:lineRule="exact"/>
                              <w:jc w:val="center"/>
                              <w:textAlignment w:val="center"/>
                              <w:rPr>
                                <w:rFonts w:ascii="宋体" w:hAnsi="宋体" w:cs="宋体"/>
                                <w:color w:val="000000"/>
                                <w:szCs w:val="21"/>
                              </w:rPr>
                            </w:pPr>
                            <w:r>
                              <w:rPr>
                                <w:rFonts w:hint="eastAsia" w:ascii="宋体" w:hAnsi="宋体" w:cs="宋体"/>
                                <w:color w:val="000000"/>
                                <w:szCs w:val="21"/>
                              </w:rPr>
                              <w:t>10万以上</w:t>
                            </w:r>
                          </w:p>
                        </w:tc>
                        <w:tc>
                          <w:tcPr>
                            <w:tcW w:w="1418" w:type="dxa"/>
                            <w:tcBorders>
                              <w:top w:val="single" w:color="000000" w:sz="4" w:space="0"/>
                              <w:left w:val="single" w:color="000000" w:sz="4" w:space="0"/>
                              <w:bottom w:val="single" w:color="000000" w:sz="4" w:space="0"/>
                              <w:right w:val="single" w:color="000000" w:sz="4" w:space="0"/>
                            </w:tcBorders>
                            <w:vAlign w:val="center"/>
                          </w:tcPr>
                          <w:p w14:paraId="69040A18">
                            <w:pPr>
                              <w:widowControl/>
                              <w:spacing w:line="320" w:lineRule="exact"/>
                              <w:jc w:val="center"/>
                              <w:textAlignment w:val="center"/>
                              <w:rPr>
                                <w:rFonts w:ascii="宋体" w:hAnsi="宋体" w:cs="宋体"/>
                                <w:color w:val="000000"/>
                                <w:szCs w:val="21"/>
                              </w:rPr>
                            </w:pPr>
                            <w:r>
                              <w:rPr>
                                <w:rFonts w:hint="eastAsia" w:ascii="宋体" w:hAnsi="宋体" w:cs="宋体"/>
                                <w:color w:val="000000"/>
                                <w:szCs w:val="21"/>
                              </w:rPr>
                              <w:t>10万以上</w:t>
                            </w:r>
                          </w:p>
                        </w:tc>
                      </w:tr>
                    </w:tbl>
                    <w:p w14:paraId="09CCB600"/>
                  </w:txbxContent>
                </v:textbox>
              </v:shape>
            </w:pict>
          </mc:Fallback>
        </mc:AlternateContent>
      </w:r>
    </w:p>
    <w:p w14:paraId="7A65BCA3">
      <w:pPr>
        <w:keepNext w:val="0"/>
        <w:keepLines w:val="0"/>
        <w:pageBreakBefore w:val="0"/>
        <w:widowControl/>
        <w:kinsoku/>
        <w:wordWrap/>
        <w:overflowPunct/>
        <w:topLinePunct w:val="0"/>
        <w:autoSpaceDE/>
        <w:autoSpaceDN/>
        <w:bidi w:val="0"/>
        <w:adjustRightInd/>
        <w:spacing w:line="440" w:lineRule="exact"/>
        <w:ind w:firstLine="480" w:firstLineChars="200"/>
        <w:textAlignment w:val="center"/>
        <w:outlineLvl w:val="1"/>
        <w:rPr>
          <w:rFonts w:ascii="宋体" w:hAnsi="宋体" w:cs="宋体"/>
          <w:color w:val="auto"/>
          <w:sz w:val="24"/>
        </w:rPr>
      </w:pPr>
    </w:p>
    <w:p w14:paraId="127EC8EE">
      <w:pPr>
        <w:keepNext w:val="0"/>
        <w:keepLines w:val="0"/>
        <w:pageBreakBefore w:val="0"/>
        <w:widowControl/>
        <w:kinsoku/>
        <w:wordWrap/>
        <w:overflowPunct/>
        <w:topLinePunct w:val="0"/>
        <w:autoSpaceDE/>
        <w:autoSpaceDN/>
        <w:bidi w:val="0"/>
        <w:adjustRightInd/>
        <w:spacing w:line="440" w:lineRule="exact"/>
        <w:ind w:firstLine="480" w:firstLineChars="200"/>
        <w:textAlignment w:val="center"/>
        <w:outlineLvl w:val="1"/>
        <w:rPr>
          <w:rFonts w:ascii="宋体" w:hAnsi="宋体" w:cs="宋体"/>
          <w:color w:val="auto"/>
          <w:sz w:val="24"/>
        </w:rPr>
      </w:pPr>
    </w:p>
    <w:p w14:paraId="3C6B3128">
      <w:pPr>
        <w:keepNext w:val="0"/>
        <w:keepLines w:val="0"/>
        <w:pageBreakBefore w:val="0"/>
        <w:widowControl/>
        <w:kinsoku/>
        <w:wordWrap/>
        <w:overflowPunct/>
        <w:topLinePunct w:val="0"/>
        <w:autoSpaceDE/>
        <w:autoSpaceDN/>
        <w:bidi w:val="0"/>
        <w:adjustRightInd/>
        <w:spacing w:line="440" w:lineRule="exact"/>
        <w:ind w:firstLine="480" w:firstLineChars="200"/>
        <w:textAlignment w:val="center"/>
        <w:outlineLvl w:val="1"/>
        <w:rPr>
          <w:rFonts w:ascii="宋体" w:hAnsi="宋体" w:cs="宋体"/>
          <w:color w:val="auto"/>
          <w:sz w:val="24"/>
        </w:rPr>
      </w:pPr>
    </w:p>
    <w:p w14:paraId="27E59C3A">
      <w:pPr>
        <w:keepNext w:val="0"/>
        <w:keepLines w:val="0"/>
        <w:pageBreakBefore w:val="0"/>
        <w:widowControl/>
        <w:kinsoku/>
        <w:wordWrap/>
        <w:overflowPunct/>
        <w:topLinePunct w:val="0"/>
        <w:autoSpaceDE/>
        <w:autoSpaceDN/>
        <w:bidi w:val="0"/>
        <w:adjustRightInd/>
        <w:spacing w:line="440" w:lineRule="exact"/>
        <w:ind w:firstLine="480" w:firstLineChars="200"/>
        <w:textAlignment w:val="center"/>
        <w:outlineLvl w:val="1"/>
        <w:rPr>
          <w:rFonts w:ascii="宋体" w:hAnsi="宋体" w:cs="宋体"/>
          <w:color w:val="auto"/>
          <w:sz w:val="24"/>
        </w:rPr>
      </w:pPr>
    </w:p>
    <w:p w14:paraId="3F00770E">
      <w:pPr>
        <w:keepNext w:val="0"/>
        <w:keepLines w:val="0"/>
        <w:pageBreakBefore w:val="0"/>
        <w:widowControl/>
        <w:kinsoku/>
        <w:wordWrap/>
        <w:overflowPunct/>
        <w:topLinePunct w:val="0"/>
        <w:autoSpaceDE/>
        <w:autoSpaceDN/>
        <w:bidi w:val="0"/>
        <w:adjustRightInd/>
        <w:spacing w:line="440" w:lineRule="exact"/>
        <w:ind w:firstLine="480" w:firstLineChars="200"/>
        <w:textAlignment w:val="center"/>
        <w:outlineLvl w:val="1"/>
        <w:rPr>
          <w:rFonts w:ascii="宋体" w:hAnsi="宋体" w:cs="宋体"/>
          <w:color w:val="auto"/>
          <w:sz w:val="24"/>
        </w:rPr>
      </w:pPr>
    </w:p>
    <w:p w14:paraId="7F5F7B6C">
      <w:pPr>
        <w:keepNext w:val="0"/>
        <w:keepLines w:val="0"/>
        <w:pageBreakBefore w:val="0"/>
        <w:widowControl/>
        <w:kinsoku/>
        <w:wordWrap/>
        <w:overflowPunct/>
        <w:topLinePunct w:val="0"/>
        <w:autoSpaceDE/>
        <w:autoSpaceDN/>
        <w:bidi w:val="0"/>
        <w:adjustRightInd/>
        <w:spacing w:line="440" w:lineRule="exact"/>
        <w:ind w:firstLine="480" w:firstLineChars="200"/>
        <w:textAlignment w:val="center"/>
        <w:outlineLvl w:val="1"/>
        <w:rPr>
          <w:rFonts w:ascii="宋体" w:hAnsi="宋体" w:cs="宋体"/>
          <w:color w:val="auto"/>
          <w:sz w:val="24"/>
        </w:rPr>
      </w:pPr>
    </w:p>
    <w:p w14:paraId="08527E55">
      <w:pPr>
        <w:keepNext w:val="0"/>
        <w:keepLines w:val="0"/>
        <w:pageBreakBefore w:val="0"/>
        <w:widowControl/>
        <w:kinsoku/>
        <w:wordWrap/>
        <w:overflowPunct/>
        <w:topLinePunct w:val="0"/>
        <w:autoSpaceDE/>
        <w:autoSpaceDN/>
        <w:bidi w:val="0"/>
        <w:adjustRightInd/>
        <w:spacing w:line="440" w:lineRule="exact"/>
        <w:ind w:firstLine="480" w:firstLineChars="200"/>
        <w:textAlignment w:val="center"/>
        <w:outlineLvl w:val="1"/>
        <w:rPr>
          <w:rFonts w:ascii="宋体" w:hAnsi="宋体" w:cs="宋体"/>
          <w:color w:val="auto"/>
          <w:sz w:val="24"/>
        </w:rPr>
      </w:pPr>
    </w:p>
    <w:p w14:paraId="653C863F">
      <w:pPr>
        <w:keepNext w:val="0"/>
        <w:keepLines w:val="0"/>
        <w:pageBreakBefore w:val="0"/>
        <w:tabs>
          <w:tab w:val="left" w:pos="0"/>
        </w:tabs>
        <w:kinsoku/>
        <w:wordWrap/>
        <w:overflowPunct/>
        <w:topLinePunct w:val="0"/>
        <w:autoSpaceDE/>
        <w:autoSpaceDN/>
        <w:bidi w:val="0"/>
        <w:adjustRightInd/>
        <w:spacing w:line="440" w:lineRule="exact"/>
        <w:ind w:firstLine="482" w:firstLineChars="200"/>
        <w:outlineLvl w:val="1"/>
        <w:rPr>
          <w:rFonts w:ascii="宋体" w:hAnsi="宋体" w:cs="宋体"/>
          <w:color w:val="auto"/>
          <w:sz w:val="24"/>
        </w:rPr>
      </w:pPr>
      <w:r>
        <w:rPr>
          <w:rFonts w:hint="eastAsia" w:ascii="宋体" w:hAnsi="宋体" w:cs="宋体"/>
          <w:b/>
          <w:bCs/>
          <w:color w:val="auto"/>
          <w:sz w:val="24"/>
        </w:rPr>
        <w:t>第七条</w:t>
      </w:r>
      <w:r>
        <w:rPr>
          <w:rFonts w:hint="eastAsia" w:ascii="宋体" w:hAnsi="宋体" w:cs="宋体"/>
          <w:color w:val="auto"/>
          <w:sz w:val="24"/>
        </w:rPr>
        <w:t xml:space="preserve">  人员费用支出按第六条规定权限审批，并按以下要求增加审批环节：</w:t>
      </w:r>
    </w:p>
    <w:p w14:paraId="3B14D1DE">
      <w:pPr>
        <w:keepNext w:val="0"/>
        <w:keepLines w:val="0"/>
        <w:pageBreakBefore w:val="0"/>
        <w:tabs>
          <w:tab w:val="left" w:pos="0"/>
        </w:tabs>
        <w:kinsoku/>
        <w:wordWrap/>
        <w:overflowPunct/>
        <w:topLinePunct w:val="0"/>
        <w:autoSpaceDE/>
        <w:autoSpaceDN/>
        <w:bidi w:val="0"/>
        <w:adjustRightInd/>
        <w:spacing w:line="440" w:lineRule="exact"/>
        <w:ind w:firstLine="480" w:firstLineChars="200"/>
        <w:outlineLvl w:val="1"/>
        <w:rPr>
          <w:rFonts w:ascii="宋体" w:hAnsi="宋体" w:cs="宋体"/>
          <w:color w:val="auto"/>
          <w:sz w:val="24"/>
        </w:rPr>
      </w:pPr>
      <w:r>
        <w:rPr>
          <w:rFonts w:hint="eastAsia" w:ascii="宋体" w:hAnsi="宋体" w:cs="宋体"/>
          <w:color w:val="auto"/>
          <w:sz w:val="24"/>
        </w:rPr>
        <w:t>（一）科研项目绩效支出、横向科研经费用于人员的支出须报科研处审批； 项目负责人非院领导但发放对象含有院领导的，由院长审批；</w:t>
      </w:r>
      <w:bookmarkStart w:id="8" w:name="OLE_LINK3"/>
      <w:bookmarkStart w:id="9" w:name="OLE_LINK4"/>
      <w:r>
        <w:rPr>
          <w:rFonts w:hint="eastAsia" w:ascii="宋体" w:hAnsi="宋体" w:cs="宋体"/>
          <w:color w:val="auto"/>
          <w:sz w:val="24"/>
        </w:rPr>
        <w:t>发放对象含主要院领导的，由</w:t>
      </w:r>
      <w:bookmarkEnd w:id="8"/>
      <w:bookmarkEnd w:id="9"/>
      <w:r>
        <w:rPr>
          <w:rFonts w:hint="eastAsia" w:ascii="宋体" w:hAnsi="宋体" w:cs="宋体"/>
          <w:color w:val="auto"/>
          <w:sz w:val="24"/>
        </w:rPr>
        <w:t>分管财务院领导审批；</w:t>
      </w:r>
    </w:p>
    <w:p w14:paraId="547EE44D">
      <w:pPr>
        <w:keepNext w:val="0"/>
        <w:keepLines w:val="0"/>
        <w:pageBreakBefore w:val="0"/>
        <w:tabs>
          <w:tab w:val="left" w:pos="0"/>
        </w:tabs>
        <w:kinsoku/>
        <w:wordWrap/>
        <w:overflowPunct/>
        <w:topLinePunct w:val="0"/>
        <w:autoSpaceDE/>
        <w:autoSpaceDN/>
        <w:bidi w:val="0"/>
        <w:adjustRightInd/>
        <w:spacing w:line="440" w:lineRule="exact"/>
        <w:ind w:firstLine="480" w:firstLineChars="200"/>
        <w:outlineLvl w:val="1"/>
        <w:rPr>
          <w:rFonts w:ascii="宋体" w:hAnsi="宋体" w:cs="宋体"/>
          <w:color w:val="auto"/>
          <w:sz w:val="24"/>
        </w:rPr>
      </w:pPr>
      <w:r>
        <w:rPr>
          <w:rFonts w:hint="eastAsia" w:ascii="宋体" w:hAnsi="宋体" w:cs="宋体"/>
          <w:color w:val="auto"/>
          <w:sz w:val="24"/>
        </w:rPr>
        <w:t>（二）其他非学院统一发放的人员经费中，发放对象含有经费签批人的，由分管业务院领导审批；发放对象含有分管副职院领导的，由院长审批；发放对象含主要院级领导的，由分管财务院领导审批。</w:t>
      </w:r>
    </w:p>
    <w:p w14:paraId="1BF7B536">
      <w:pPr>
        <w:keepNext w:val="0"/>
        <w:keepLines w:val="0"/>
        <w:pageBreakBefore w:val="0"/>
        <w:tabs>
          <w:tab w:val="left" w:pos="0"/>
        </w:tabs>
        <w:kinsoku/>
        <w:wordWrap/>
        <w:overflowPunct/>
        <w:topLinePunct w:val="0"/>
        <w:autoSpaceDE/>
        <w:autoSpaceDN/>
        <w:bidi w:val="0"/>
        <w:adjustRightInd/>
        <w:spacing w:line="440" w:lineRule="exact"/>
        <w:ind w:firstLine="482" w:firstLineChars="200"/>
        <w:outlineLvl w:val="1"/>
        <w:rPr>
          <w:rFonts w:ascii="宋体" w:hAnsi="宋体" w:cs="宋体"/>
          <w:color w:val="auto"/>
          <w:sz w:val="24"/>
        </w:rPr>
      </w:pPr>
      <w:r>
        <w:rPr>
          <w:rFonts w:hint="eastAsia" w:ascii="宋体" w:hAnsi="宋体" w:cs="宋体"/>
          <w:b/>
          <w:bCs/>
          <w:color w:val="auto"/>
          <w:sz w:val="24"/>
        </w:rPr>
        <w:t>第七条</w:t>
      </w:r>
      <w:r>
        <w:rPr>
          <w:rFonts w:hint="eastAsia" w:ascii="宋体" w:hAnsi="宋体" w:cs="宋体"/>
          <w:color w:val="auto"/>
          <w:sz w:val="24"/>
        </w:rPr>
        <w:t xml:space="preserve">  为简化工作流程，学院部分已按第六条规定权限事前办理审批手续的经济业务、已有既定标准或政策性支出业务、代收代支业务，支付时按以下权限审批：</w:t>
      </w:r>
    </w:p>
    <w:p w14:paraId="209D2C44">
      <w:pPr>
        <w:keepNext w:val="0"/>
        <w:keepLines w:val="0"/>
        <w:pageBreakBefore w:val="0"/>
        <w:tabs>
          <w:tab w:val="left" w:pos="0"/>
        </w:tabs>
        <w:kinsoku/>
        <w:wordWrap/>
        <w:overflowPunct/>
        <w:topLinePunct w:val="0"/>
        <w:autoSpaceDE/>
        <w:autoSpaceDN/>
        <w:bidi w:val="0"/>
        <w:adjustRightInd/>
        <w:spacing w:line="440" w:lineRule="exact"/>
        <w:ind w:firstLine="480" w:firstLineChars="200"/>
        <w:outlineLvl w:val="1"/>
        <w:rPr>
          <w:rFonts w:ascii="宋体" w:hAnsi="宋体" w:cs="宋体"/>
          <w:color w:val="auto"/>
          <w:sz w:val="24"/>
        </w:rPr>
      </w:pPr>
      <w:r>
        <w:rPr>
          <w:rFonts w:hint="eastAsia" w:ascii="宋体" w:hAnsi="宋体" w:cs="宋体"/>
          <w:color w:val="auto"/>
          <w:sz w:val="24"/>
        </w:rPr>
        <w:t>(一)事前已经办理审批手续的经济业务</w:t>
      </w:r>
    </w:p>
    <w:p w14:paraId="31232E19">
      <w:pPr>
        <w:keepNext w:val="0"/>
        <w:keepLines w:val="0"/>
        <w:pageBreakBefore w:val="0"/>
        <w:tabs>
          <w:tab w:val="left" w:pos="0"/>
        </w:tabs>
        <w:kinsoku/>
        <w:wordWrap/>
        <w:overflowPunct/>
        <w:topLinePunct w:val="0"/>
        <w:autoSpaceDE/>
        <w:autoSpaceDN/>
        <w:bidi w:val="0"/>
        <w:adjustRightInd/>
        <w:spacing w:line="440" w:lineRule="exact"/>
        <w:ind w:firstLine="480" w:firstLineChars="200"/>
        <w:outlineLvl w:val="1"/>
        <w:rPr>
          <w:rFonts w:ascii="宋体" w:hAnsi="宋体" w:cs="宋体"/>
          <w:color w:val="auto"/>
          <w:sz w:val="24"/>
        </w:rPr>
      </w:pPr>
      <w:r>
        <w:rPr>
          <w:rFonts w:hint="eastAsia" w:ascii="宋体" w:hAnsi="宋体" w:cs="宋体"/>
          <w:color w:val="auto"/>
          <w:sz w:val="24"/>
        </w:rPr>
        <w:t>1.教职工出差前须完成审批程序，按学院考勤制度相关规定办理事前报批手续。已按第六条及出差、培训等相关管理规定办理审批，在预算限额内且与审批内容一致的差旅、培训借款及按规定支付的费用，在项目经费中开支的，由项目负责人审批；出差人为项目负责人的，由部门负责人审批。在部门或公共经费中开支的，由部门负责人审批；出差人为部门负责人的，由分管院领导审批。在公共经费开支的，副职院领导出差，由分管财务的院领导审批；分管财务的院领导出差，由院长审批。</w:t>
      </w:r>
    </w:p>
    <w:p w14:paraId="30C7B929">
      <w:pPr>
        <w:keepNext w:val="0"/>
        <w:keepLines w:val="0"/>
        <w:pageBreakBefore w:val="0"/>
        <w:tabs>
          <w:tab w:val="left" w:pos="0"/>
        </w:tabs>
        <w:kinsoku/>
        <w:wordWrap/>
        <w:overflowPunct/>
        <w:topLinePunct w:val="0"/>
        <w:autoSpaceDE/>
        <w:autoSpaceDN/>
        <w:bidi w:val="0"/>
        <w:adjustRightInd/>
        <w:spacing w:line="440" w:lineRule="exact"/>
        <w:ind w:firstLine="480" w:firstLineChars="200"/>
        <w:outlineLvl w:val="1"/>
        <w:rPr>
          <w:rFonts w:ascii="宋体" w:hAnsi="宋体" w:cs="宋体"/>
          <w:color w:val="auto"/>
          <w:sz w:val="24"/>
        </w:rPr>
      </w:pPr>
      <w:r>
        <w:rPr>
          <w:rFonts w:hint="eastAsia" w:ascii="宋体" w:hAnsi="宋体" w:cs="宋体"/>
          <w:color w:val="auto"/>
          <w:sz w:val="24"/>
        </w:rPr>
        <w:t>2.已按第六条及“三重一大”规定立项审批并按规定履行了相关程序的采购或合同，金额在10万元以下的借款或款项支付，由项目负责人审批；10万元以上款项支付，由部门负责人加签意见后报分管业务院领导审批。</w:t>
      </w:r>
    </w:p>
    <w:p w14:paraId="7C647EE5">
      <w:pPr>
        <w:keepNext w:val="0"/>
        <w:keepLines w:val="0"/>
        <w:pageBreakBefore w:val="0"/>
        <w:tabs>
          <w:tab w:val="left" w:pos="0"/>
        </w:tabs>
        <w:kinsoku/>
        <w:wordWrap/>
        <w:overflowPunct/>
        <w:topLinePunct w:val="0"/>
        <w:autoSpaceDE/>
        <w:autoSpaceDN/>
        <w:bidi w:val="0"/>
        <w:adjustRightInd/>
        <w:spacing w:line="440" w:lineRule="exact"/>
        <w:ind w:firstLine="480" w:firstLineChars="200"/>
        <w:outlineLvl w:val="1"/>
        <w:rPr>
          <w:rFonts w:ascii="宋体" w:hAnsi="宋体" w:cs="宋体"/>
          <w:color w:val="auto"/>
          <w:sz w:val="24"/>
        </w:rPr>
      </w:pPr>
      <w:r>
        <w:rPr>
          <w:rFonts w:hint="eastAsia" w:ascii="宋体" w:hAnsi="宋体" w:cs="宋体"/>
          <w:color w:val="auto"/>
          <w:sz w:val="24"/>
        </w:rPr>
        <w:t>3.与借款用途相符的冲账支出，由部门负责人（项目负责人）审批；不相符的，不予报销。</w:t>
      </w:r>
    </w:p>
    <w:p w14:paraId="4AC3D7CC">
      <w:pPr>
        <w:keepNext w:val="0"/>
        <w:keepLines w:val="0"/>
        <w:pageBreakBefore w:val="0"/>
        <w:tabs>
          <w:tab w:val="left" w:pos="0"/>
        </w:tabs>
        <w:kinsoku/>
        <w:wordWrap/>
        <w:overflowPunct/>
        <w:topLinePunct w:val="0"/>
        <w:autoSpaceDE/>
        <w:autoSpaceDN/>
        <w:bidi w:val="0"/>
        <w:adjustRightInd/>
        <w:spacing w:line="440" w:lineRule="exact"/>
        <w:ind w:firstLine="480" w:firstLineChars="200"/>
        <w:outlineLvl w:val="1"/>
        <w:rPr>
          <w:rFonts w:ascii="宋体" w:hAnsi="宋体" w:cs="宋体"/>
          <w:color w:val="auto"/>
          <w:sz w:val="24"/>
        </w:rPr>
      </w:pPr>
      <w:r>
        <w:rPr>
          <w:rFonts w:hint="eastAsia" w:ascii="宋体" w:hAnsi="宋体" w:cs="宋体"/>
          <w:color w:val="auto"/>
          <w:sz w:val="24"/>
        </w:rPr>
        <w:t>（二）已有既定标准或政策性支出业务</w:t>
      </w:r>
    </w:p>
    <w:p w14:paraId="68C82ED1">
      <w:pPr>
        <w:keepNext w:val="0"/>
        <w:keepLines w:val="0"/>
        <w:pageBreakBefore w:val="0"/>
        <w:tabs>
          <w:tab w:val="left" w:pos="0"/>
        </w:tabs>
        <w:kinsoku/>
        <w:wordWrap/>
        <w:overflowPunct/>
        <w:topLinePunct w:val="0"/>
        <w:autoSpaceDE/>
        <w:autoSpaceDN/>
        <w:bidi w:val="0"/>
        <w:adjustRightInd/>
        <w:spacing w:line="440" w:lineRule="exact"/>
        <w:ind w:firstLine="480" w:firstLineChars="200"/>
        <w:outlineLvl w:val="1"/>
        <w:rPr>
          <w:rFonts w:ascii="宋体" w:hAnsi="宋体" w:cs="宋体"/>
          <w:color w:val="auto"/>
          <w:sz w:val="24"/>
        </w:rPr>
      </w:pPr>
      <w:r>
        <w:rPr>
          <w:rFonts w:hint="eastAsia" w:ascii="宋体" w:hAnsi="宋体" w:cs="宋体"/>
          <w:color w:val="auto"/>
          <w:sz w:val="24"/>
        </w:rPr>
        <w:t>1.与教职工薪酬待遇相关的工资、津贴补贴、奖金、离退休人员经费及生活补贴、缴纳住房公积金、养老保险金、医疗保险金、失业保险金、按政策规定支出的计划生育奖、职工探亲路费、抚恤金、遗属补贴、丧葬费、教职工体检费（含新入职人员）等，正常劳务费及值班费统一纳入绩效工资，由人事处负责人审核，报分管院领导审批。</w:t>
      </w:r>
    </w:p>
    <w:p w14:paraId="291F2B9C">
      <w:pPr>
        <w:keepNext w:val="0"/>
        <w:keepLines w:val="0"/>
        <w:pageBreakBefore w:val="0"/>
        <w:tabs>
          <w:tab w:val="left" w:pos="0"/>
        </w:tabs>
        <w:kinsoku/>
        <w:wordWrap/>
        <w:overflowPunct/>
        <w:topLinePunct w:val="0"/>
        <w:autoSpaceDE/>
        <w:autoSpaceDN/>
        <w:bidi w:val="0"/>
        <w:adjustRightInd/>
        <w:spacing w:line="440" w:lineRule="exact"/>
        <w:ind w:firstLine="480" w:firstLineChars="200"/>
        <w:outlineLvl w:val="1"/>
        <w:rPr>
          <w:rFonts w:ascii="宋体" w:hAnsi="宋体" w:cs="宋体"/>
          <w:color w:val="auto"/>
          <w:sz w:val="24"/>
        </w:rPr>
      </w:pPr>
      <w:r>
        <w:rPr>
          <w:rFonts w:hint="eastAsia" w:ascii="宋体" w:hAnsi="宋体" w:cs="宋体"/>
          <w:color w:val="auto"/>
          <w:sz w:val="24"/>
        </w:rPr>
        <w:t>2.各项税金上缴，银行手续费支出，由计划财务处负责人审批。</w:t>
      </w:r>
    </w:p>
    <w:p w14:paraId="76516158">
      <w:pPr>
        <w:keepNext w:val="0"/>
        <w:keepLines w:val="0"/>
        <w:pageBreakBefore w:val="0"/>
        <w:tabs>
          <w:tab w:val="left" w:pos="0"/>
        </w:tabs>
        <w:kinsoku/>
        <w:wordWrap/>
        <w:overflowPunct/>
        <w:topLinePunct w:val="0"/>
        <w:autoSpaceDE/>
        <w:autoSpaceDN/>
        <w:bidi w:val="0"/>
        <w:adjustRightInd/>
        <w:spacing w:line="440" w:lineRule="exact"/>
        <w:ind w:firstLine="480" w:firstLineChars="200"/>
        <w:outlineLvl w:val="1"/>
        <w:rPr>
          <w:rFonts w:ascii="宋体" w:hAnsi="宋体" w:cs="宋体"/>
          <w:color w:val="auto"/>
          <w:sz w:val="24"/>
        </w:rPr>
      </w:pPr>
      <w:r>
        <w:rPr>
          <w:rFonts w:hint="eastAsia" w:ascii="宋体" w:hAnsi="宋体" w:cs="宋体"/>
          <w:color w:val="auto"/>
          <w:sz w:val="24"/>
        </w:rPr>
        <w:t>3.按照上级和学院文件要求必须发放的省级、市级学生国家奖学金、助学金等专项资金的开支，助学贷款风险补偿金、学生综合测评奖金、学生勤工俭学补贴等院级奖助学金的开支，由学生工作处负责人审核，报分管院领导审批；</w:t>
      </w:r>
    </w:p>
    <w:p w14:paraId="0935AE9F">
      <w:pPr>
        <w:keepNext w:val="0"/>
        <w:keepLines w:val="0"/>
        <w:pageBreakBefore w:val="0"/>
        <w:tabs>
          <w:tab w:val="left" w:pos="0"/>
        </w:tabs>
        <w:kinsoku/>
        <w:wordWrap/>
        <w:overflowPunct/>
        <w:topLinePunct w:val="0"/>
        <w:autoSpaceDE/>
        <w:autoSpaceDN/>
        <w:bidi w:val="0"/>
        <w:adjustRightInd/>
        <w:spacing w:line="440" w:lineRule="exact"/>
        <w:ind w:firstLine="480" w:firstLineChars="200"/>
        <w:outlineLvl w:val="1"/>
        <w:rPr>
          <w:rFonts w:ascii="宋体" w:hAnsi="宋体" w:cs="宋体"/>
          <w:color w:val="auto"/>
          <w:sz w:val="24"/>
        </w:rPr>
      </w:pPr>
      <w:r>
        <w:rPr>
          <w:rFonts w:hint="eastAsia" w:ascii="宋体" w:hAnsi="宋体" w:cs="宋体"/>
          <w:color w:val="auto"/>
          <w:sz w:val="24"/>
        </w:rPr>
        <w:t>4.各校区的水电费、电话费、锅炉燃料费，汽车维修申请报告及汽车燃料费、汽车维修费等，在预算额度范围内由校区负责人或校区办负责人审核，报分管院领导审批；</w:t>
      </w:r>
    </w:p>
    <w:p w14:paraId="658CB571">
      <w:pPr>
        <w:keepNext w:val="0"/>
        <w:keepLines w:val="0"/>
        <w:pageBreakBefore w:val="0"/>
        <w:tabs>
          <w:tab w:val="left" w:pos="0"/>
        </w:tabs>
        <w:kinsoku/>
        <w:wordWrap/>
        <w:overflowPunct/>
        <w:topLinePunct w:val="0"/>
        <w:autoSpaceDE/>
        <w:autoSpaceDN/>
        <w:bidi w:val="0"/>
        <w:adjustRightInd/>
        <w:spacing w:line="440" w:lineRule="exact"/>
        <w:ind w:firstLine="480" w:firstLineChars="200"/>
        <w:outlineLvl w:val="1"/>
        <w:rPr>
          <w:rFonts w:ascii="宋体" w:hAnsi="宋体" w:cs="宋体"/>
          <w:color w:val="auto"/>
          <w:sz w:val="24"/>
        </w:rPr>
      </w:pPr>
      <w:r>
        <w:rPr>
          <w:rFonts w:hint="eastAsia" w:ascii="宋体" w:hAnsi="宋体" w:cs="宋体"/>
          <w:color w:val="auto"/>
          <w:sz w:val="24"/>
        </w:rPr>
        <w:t>院本部的水电费、电话费、锅炉燃料费，大客车发生的费用等由总务处负责人审核，小车发生的费用由学院办公室负责人审核，报分管院领导审批。</w:t>
      </w:r>
    </w:p>
    <w:p w14:paraId="68B8806E">
      <w:pPr>
        <w:keepNext w:val="0"/>
        <w:keepLines w:val="0"/>
        <w:pageBreakBefore w:val="0"/>
        <w:tabs>
          <w:tab w:val="left" w:pos="0"/>
        </w:tabs>
        <w:kinsoku/>
        <w:wordWrap/>
        <w:overflowPunct/>
        <w:topLinePunct w:val="0"/>
        <w:autoSpaceDE/>
        <w:autoSpaceDN/>
        <w:bidi w:val="0"/>
        <w:adjustRightInd/>
        <w:spacing w:line="440" w:lineRule="exact"/>
        <w:ind w:firstLine="480" w:firstLineChars="200"/>
        <w:outlineLvl w:val="1"/>
        <w:rPr>
          <w:rFonts w:ascii="宋体" w:hAnsi="宋体" w:cs="宋体"/>
          <w:color w:val="auto"/>
          <w:sz w:val="24"/>
        </w:rPr>
      </w:pPr>
      <w:r>
        <w:rPr>
          <w:rFonts w:hint="eastAsia" w:ascii="宋体" w:hAnsi="宋体" w:cs="宋体"/>
          <w:color w:val="auto"/>
          <w:sz w:val="24"/>
        </w:rPr>
        <w:t>5. 教师的课时酬金按照汕头职业技术学院教学酬金相关管理规定计算，由各系分学期或者年度计算工作量及超额量，报教务处确认后报人事处，纳入绩效工资总量，具体按照绩效工资方案实施。</w:t>
      </w:r>
    </w:p>
    <w:p w14:paraId="174F4576">
      <w:pPr>
        <w:keepNext w:val="0"/>
        <w:keepLines w:val="0"/>
        <w:pageBreakBefore w:val="0"/>
        <w:tabs>
          <w:tab w:val="left" w:pos="0"/>
        </w:tabs>
        <w:kinsoku/>
        <w:wordWrap/>
        <w:overflowPunct/>
        <w:topLinePunct w:val="0"/>
        <w:autoSpaceDE/>
        <w:autoSpaceDN/>
        <w:bidi w:val="0"/>
        <w:adjustRightInd/>
        <w:spacing w:line="440" w:lineRule="exact"/>
        <w:ind w:firstLine="480" w:firstLineChars="200"/>
        <w:outlineLvl w:val="1"/>
        <w:rPr>
          <w:rFonts w:ascii="宋体" w:hAnsi="宋体" w:cs="宋体"/>
          <w:color w:val="auto"/>
          <w:sz w:val="24"/>
        </w:rPr>
      </w:pPr>
      <w:r>
        <w:rPr>
          <w:rFonts w:hint="eastAsia" w:ascii="宋体" w:hAnsi="宋体" w:cs="宋体"/>
          <w:color w:val="auto"/>
          <w:sz w:val="24"/>
        </w:rPr>
        <w:t>6.外聘教师的课酬由各系计算，送教务处审核，并报人事处依据聘用合同审核，报分管业务院领导审批。</w:t>
      </w:r>
    </w:p>
    <w:p w14:paraId="2035583A">
      <w:pPr>
        <w:keepNext w:val="0"/>
        <w:keepLines w:val="0"/>
        <w:pageBreakBefore w:val="0"/>
        <w:tabs>
          <w:tab w:val="left" w:pos="0"/>
        </w:tabs>
        <w:kinsoku/>
        <w:wordWrap/>
        <w:overflowPunct/>
        <w:topLinePunct w:val="0"/>
        <w:autoSpaceDE/>
        <w:autoSpaceDN/>
        <w:bidi w:val="0"/>
        <w:adjustRightInd/>
        <w:spacing w:line="440" w:lineRule="exact"/>
        <w:ind w:firstLine="480" w:firstLineChars="200"/>
        <w:outlineLvl w:val="1"/>
        <w:rPr>
          <w:rFonts w:ascii="宋体" w:hAnsi="宋体" w:cs="宋体"/>
          <w:color w:val="auto"/>
          <w:sz w:val="24"/>
        </w:rPr>
      </w:pPr>
      <w:r>
        <w:rPr>
          <w:rFonts w:hint="eastAsia" w:ascii="宋体" w:hAnsi="宋体" w:cs="宋体"/>
          <w:color w:val="auto"/>
          <w:sz w:val="24"/>
        </w:rPr>
        <w:t>7.按上级有关规定必须支付或者上缴的各项费用（如招生档案费、上缴财政指定专户的各类费用、上缴上级工会经费等等），由职能部门负责人审批。</w:t>
      </w:r>
    </w:p>
    <w:p w14:paraId="0D00D8A9">
      <w:pPr>
        <w:keepNext w:val="0"/>
        <w:keepLines w:val="0"/>
        <w:pageBreakBefore w:val="0"/>
        <w:tabs>
          <w:tab w:val="left" w:pos="0"/>
        </w:tabs>
        <w:kinsoku/>
        <w:wordWrap/>
        <w:overflowPunct/>
        <w:topLinePunct w:val="0"/>
        <w:autoSpaceDE/>
        <w:autoSpaceDN/>
        <w:bidi w:val="0"/>
        <w:adjustRightInd/>
        <w:spacing w:line="440" w:lineRule="exact"/>
        <w:ind w:firstLine="480" w:firstLineChars="200"/>
        <w:outlineLvl w:val="1"/>
        <w:rPr>
          <w:rFonts w:ascii="宋体" w:hAnsi="宋体" w:cs="宋体"/>
          <w:color w:val="auto"/>
          <w:sz w:val="24"/>
        </w:rPr>
      </w:pPr>
      <w:r>
        <w:rPr>
          <w:rFonts w:hint="eastAsia" w:ascii="宋体" w:hAnsi="宋体" w:cs="宋体"/>
          <w:color w:val="auto"/>
          <w:sz w:val="24"/>
        </w:rPr>
        <w:t>（三）代收代支业务</w:t>
      </w:r>
    </w:p>
    <w:p w14:paraId="1E72DC19">
      <w:pPr>
        <w:keepNext w:val="0"/>
        <w:keepLines w:val="0"/>
        <w:pageBreakBefore w:val="0"/>
        <w:tabs>
          <w:tab w:val="left" w:pos="0"/>
        </w:tabs>
        <w:kinsoku/>
        <w:wordWrap/>
        <w:overflowPunct/>
        <w:topLinePunct w:val="0"/>
        <w:autoSpaceDE/>
        <w:autoSpaceDN/>
        <w:bidi w:val="0"/>
        <w:adjustRightInd/>
        <w:spacing w:line="440" w:lineRule="exact"/>
        <w:ind w:firstLine="480" w:firstLineChars="200"/>
        <w:outlineLvl w:val="1"/>
        <w:rPr>
          <w:rFonts w:ascii="宋体" w:hAnsi="宋体" w:cs="宋体"/>
          <w:color w:val="auto"/>
          <w:sz w:val="24"/>
        </w:rPr>
      </w:pPr>
      <w:r>
        <w:rPr>
          <w:rFonts w:hint="eastAsia" w:ascii="宋体" w:hAnsi="宋体" w:cs="宋体"/>
          <w:color w:val="auto"/>
          <w:sz w:val="24"/>
        </w:rPr>
        <w:t>1.投标保证金、履约保证金等暂收款项退回，由职能部门负责人审批；</w:t>
      </w:r>
    </w:p>
    <w:p w14:paraId="7F279F91">
      <w:pPr>
        <w:keepNext w:val="0"/>
        <w:keepLines w:val="0"/>
        <w:pageBreakBefore w:val="0"/>
        <w:tabs>
          <w:tab w:val="left" w:pos="0"/>
        </w:tabs>
        <w:kinsoku/>
        <w:wordWrap/>
        <w:overflowPunct/>
        <w:topLinePunct w:val="0"/>
        <w:autoSpaceDE/>
        <w:autoSpaceDN/>
        <w:bidi w:val="0"/>
        <w:adjustRightInd/>
        <w:spacing w:line="440" w:lineRule="exact"/>
        <w:ind w:firstLine="480" w:firstLineChars="200"/>
        <w:outlineLvl w:val="1"/>
        <w:rPr>
          <w:rFonts w:ascii="宋体" w:hAnsi="宋体" w:cs="宋体"/>
          <w:color w:val="auto"/>
          <w:sz w:val="24"/>
        </w:rPr>
      </w:pPr>
      <w:r>
        <w:rPr>
          <w:rFonts w:hint="eastAsia" w:ascii="宋体" w:hAnsi="宋体" w:cs="宋体"/>
          <w:color w:val="auto"/>
          <w:sz w:val="24"/>
        </w:rPr>
        <w:t>2.设备、家具、软件、大型修缮、零星维修等的质保金的返还由使用部门负责人审批。</w:t>
      </w:r>
    </w:p>
    <w:p w14:paraId="7D6A84D1">
      <w:pPr>
        <w:keepNext w:val="0"/>
        <w:keepLines w:val="0"/>
        <w:pageBreakBefore w:val="0"/>
        <w:tabs>
          <w:tab w:val="left" w:pos="0"/>
        </w:tabs>
        <w:kinsoku/>
        <w:wordWrap/>
        <w:overflowPunct/>
        <w:topLinePunct w:val="0"/>
        <w:autoSpaceDE/>
        <w:autoSpaceDN/>
        <w:bidi w:val="0"/>
        <w:adjustRightInd/>
        <w:spacing w:line="440" w:lineRule="exact"/>
        <w:ind w:firstLine="480" w:firstLineChars="200"/>
        <w:outlineLvl w:val="1"/>
        <w:rPr>
          <w:rFonts w:ascii="宋体" w:hAnsi="宋体" w:cs="宋体"/>
          <w:color w:val="auto"/>
          <w:sz w:val="24"/>
        </w:rPr>
      </w:pPr>
      <w:r>
        <w:rPr>
          <w:rFonts w:hint="eastAsia" w:ascii="宋体" w:hAnsi="宋体" w:cs="宋体"/>
          <w:color w:val="auto"/>
          <w:sz w:val="24"/>
        </w:rPr>
        <w:t>3.一卡通业务与各商户的结算款，由职能部门负责人审批。</w:t>
      </w:r>
    </w:p>
    <w:p w14:paraId="6D4F203B">
      <w:pPr>
        <w:keepNext w:val="0"/>
        <w:keepLines w:val="0"/>
        <w:pageBreakBefore w:val="0"/>
        <w:tabs>
          <w:tab w:val="left" w:pos="0"/>
        </w:tabs>
        <w:kinsoku/>
        <w:wordWrap/>
        <w:overflowPunct/>
        <w:topLinePunct w:val="0"/>
        <w:autoSpaceDE/>
        <w:autoSpaceDN/>
        <w:bidi w:val="0"/>
        <w:adjustRightInd/>
        <w:spacing w:line="440" w:lineRule="exact"/>
        <w:ind w:firstLine="482" w:firstLineChars="200"/>
        <w:outlineLvl w:val="1"/>
        <w:rPr>
          <w:rFonts w:ascii="宋体" w:hAnsi="宋体" w:cs="宋体"/>
          <w:color w:val="auto"/>
          <w:sz w:val="24"/>
        </w:rPr>
      </w:pPr>
      <w:r>
        <w:rPr>
          <w:rFonts w:hint="eastAsia" w:ascii="宋体" w:hAnsi="宋体" w:cs="宋体"/>
          <w:b/>
          <w:bCs/>
          <w:color w:val="auto"/>
          <w:sz w:val="24"/>
        </w:rPr>
        <w:t>第八条</w:t>
      </w:r>
      <w:r>
        <w:rPr>
          <w:rFonts w:hint="eastAsia" w:ascii="宋体" w:hAnsi="宋体" w:cs="宋体"/>
          <w:color w:val="auto"/>
          <w:sz w:val="24"/>
        </w:rPr>
        <w:t xml:space="preserve">  经费审批人应在预算项目开支范围内审批支出，超范围审批无效；所有经费原则上不得超预算开支，如遇工作任务发生重大变化或其他客观不可预见因素，需对经费做出调整的，已经通过院长办公会或党委会立项的项目及公共经费开支项目按学院预算管理办法相关规定执行；未达到“三重一大”决策要求且未超项目经费或部门经费预算的，按第六条规定权限审批。</w:t>
      </w:r>
    </w:p>
    <w:p w14:paraId="6E328378">
      <w:pPr>
        <w:pStyle w:val="3"/>
        <w:keepNext w:val="0"/>
        <w:keepLines w:val="0"/>
        <w:pageBreakBefore w:val="0"/>
        <w:widowControl w:val="0"/>
        <w:kinsoku/>
        <w:wordWrap/>
        <w:overflowPunct/>
        <w:topLinePunct w:val="0"/>
        <w:autoSpaceDE/>
        <w:autoSpaceDN/>
        <w:bidi w:val="0"/>
        <w:adjustRightInd/>
        <w:spacing w:before="156" w:beforeLines="50" w:beforeAutospacing="0" w:after="156" w:afterLines="50" w:afterAutospacing="0" w:line="440" w:lineRule="exact"/>
        <w:jc w:val="center"/>
        <w:textAlignment w:val="auto"/>
        <w:outlineLvl w:val="1"/>
        <w:rPr>
          <w:b/>
          <w:bCs/>
          <w:color w:val="auto"/>
        </w:rPr>
      </w:pPr>
      <w:bookmarkStart w:id="10" w:name="_Toc21239"/>
      <w:bookmarkStart w:id="11" w:name="_Toc18349"/>
      <w:r>
        <w:rPr>
          <w:rFonts w:hint="eastAsia"/>
          <w:b/>
          <w:bCs/>
          <w:color w:val="auto"/>
        </w:rPr>
        <w:t>第三章  报销票据要求</w:t>
      </w:r>
      <w:bookmarkEnd w:id="10"/>
      <w:bookmarkEnd w:id="11"/>
    </w:p>
    <w:p w14:paraId="4CFB2753">
      <w:pPr>
        <w:keepNext w:val="0"/>
        <w:keepLines w:val="0"/>
        <w:pageBreakBefore w:val="0"/>
        <w:tabs>
          <w:tab w:val="left" w:pos="0"/>
        </w:tabs>
        <w:kinsoku/>
        <w:wordWrap/>
        <w:overflowPunct/>
        <w:topLinePunct w:val="0"/>
        <w:autoSpaceDE/>
        <w:autoSpaceDN/>
        <w:bidi w:val="0"/>
        <w:adjustRightInd/>
        <w:spacing w:line="440" w:lineRule="exact"/>
        <w:ind w:firstLine="482" w:firstLineChars="200"/>
        <w:outlineLvl w:val="1"/>
        <w:rPr>
          <w:rFonts w:ascii="宋体" w:hAnsi="宋体" w:cs="宋体"/>
          <w:color w:val="auto"/>
          <w:sz w:val="24"/>
        </w:rPr>
      </w:pPr>
      <w:r>
        <w:rPr>
          <w:rFonts w:hint="eastAsia" w:ascii="宋体" w:hAnsi="宋体" w:cs="宋体"/>
          <w:b/>
          <w:bCs/>
          <w:color w:val="auto"/>
          <w:sz w:val="24"/>
        </w:rPr>
        <w:t>第九条</w:t>
      </w:r>
      <w:r>
        <w:rPr>
          <w:rFonts w:hint="eastAsia" w:ascii="宋体" w:hAnsi="宋体" w:cs="宋体"/>
          <w:color w:val="auto"/>
          <w:sz w:val="24"/>
        </w:rPr>
        <w:t xml:space="preserve">  报销人员办理报销业务，应取得合格的原始凭证。报销的原始凭证必须是符合国家财税制度规定的发票、行政事业单位统一收款票据等；已和学院签订合同的，报销时应附合同复印件(复印件与原件一致）。</w:t>
      </w:r>
    </w:p>
    <w:p w14:paraId="25721E8F">
      <w:pPr>
        <w:keepNext w:val="0"/>
        <w:keepLines w:val="0"/>
        <w:pageBreakBefore w:val="0"/>
        <w:tabs>
          <w:tab w:val="left" w:pos="0"/>
        </w:tabs>
        <w:kinsoku/>
        <w:wordWrap/>
        <w:overflowPunct/>
        <w:topLinePunct w:val="0"/>
        <w:autoSpaceDE/>
        <w:autoSpaceDN/>
        <w:bidi w:val="0"/>
        <w:adjustRightInd/>
        <w:spacing w:line="440" w:lineRule="exact"/>
        <w:ind w:firstLine="482" w:firstLineChars="200"/>
        <w:outlineLvl w:val="1"/>
        <w:rPr>
          <w:rFonts w:ascii="宋体" w:hAnsi="宋体" w:cs="宋体"/>
          <w:color w:val="auto"/>
          <w:sz w:val="24"/>
        </w:rPr>
      </w:pPr>
      <w:r>
        <w:rPr>
          <w:rFonts w:hint="eastAsia" w:ascii="宋体" w:hAnsi="宋体" w:cs="宋体"/>
          <w:b/>
          <w:bCs/>
          <w:color w:val="auto"/>
          <w:sz w:val="24"/>
        </w:rPr>
        <w:t>第十条</w:t>
      </w:r>
      <w:r>
        <w:rPr>
          <w:rFonts w:hint="eastAsia" w:ascii="宋体" w:hAnsi="宋体" w:cs="宋体"/>
          <w:color w:val="auto"/>
          <w:sz w:val="24"/>
        </w:rPr>
        <w:t xml:space="preserve">  原始凭证必须做到业务真实、要素齐全、字迹清晰、工整，要写明开票日期、收款业务内容、数量、单价和金额等，除车票、机票等特殊原始凭证外，付款单位名称应是“汕头职业技术学院”，并加盖开具单位发票专用章或财务专用章，电子发票按税法相关规定。自制原始凭证如工资单等需要多页汇总计算的，各页必须连续编码，由审批人在汇总页签批。</w:t>
      </w:r>
    </w:p>
    <w:p w14:paraId="014D440A">
      <w:pPr>
        <w:keepNext w:val="0"/>
        <w:keepLines w:val="0"/>
        <w:pageBreakBefore w:val="0"/>
        <w:tabs>
          <w:tab w:val="left" w:pos="0"/>
        </w:tabs>
        <w:kinsoku/>
        <w:wordWrap/>
        <w:overflowPunct/>
        <w:topLinePunct w:val="0"/>
        <w:autoSpaceDE/>
        <w:autoSpaceDN/>
        <w:bidi w:val="0"/>
        <w:adjustRightInd/>
        <w:spacing w:line="440" w:lineRule="exact"/>
        <w:ind w:firstLine="482" w:firstLineChars="200"/>
        <w:outlineLvl w:val="1"/>
        <w:rPr>
          <w:rFonts w:ascii="宋体" w:hAnsi="宋体" w:cs="宋体"/>
          <w:color w:val="auto"/>
          <w:sz w:val="24"/>
        </w:rPr>
      </w:pPr>
      <w:r>
        <w:rPr>
          <w:rFonts w:hint="eastAsia" w:ascii="宋体" w:hAnsi="宋体" w:cs="宋体"/>
          <w:b/>
          <w:bCs/>
          <w:color w:val="auto"/>
          <w:sz w:val="24"/>
        </w:rPr>
        <w:t>第十一条</w:t>
      </w:r>
      <w:r>
        <w:rPr>
          <w:rFonts w:hint="eastAsia" w:ascii="宋体" w:hAnsi="宋体" w:cs="宋体"/>
          <w:color w:val="auto"/>
          <w:sz w:val="24"/>
        </w:rPr>
        <w:t xml:space="preserve">  原始凭证必须符合国家有关法规、制度的规定，不得伪造、变造、涂改、挖补、虚构业务、虚开发票，如确有涂改，涂改的地方须盖有发票专用章。对同一笔经济业务，不得蓄意拆分开具票据。</w:t>
      </w:r>
    </w:p>
    <w:p w14:paraId="06C6B08C">
      <w:pPr>
        <w:keepNext w:val="0"/>
        <w:keepLines w:val="0"/>
        <w:pageBreakBefore w:val="0"/>
        <w:tabs>
          <w:tab w:val="left" w:pos="0"/>
        </w:tabs>
        <w:kinsoku/>
        <w:wordWrap/>
        <w:overflowPunct/>
        <w:topLinePunct w:val="0"/>
        <w:autoSpaceDE/>
        <w:autoSpaceDN/>
        <w:bidi w:val="0"/>
        <w:adjustRightInd/>
        <w:spacing w:line="440" w:lineRule="exact"/>
        <w:ind w:firstLine="482" w:firstLineChars="200"/>
        <w:outlineLvl w:val="1"/>
        <w:rPr>
          <w:rFonts w:ascii="宋体" w:hAnsi="宋体" w:cs="宋体"/>
          <w:color w:val="auto"/>
          <w:sz w:val="24"/>
        </w:rPr>
      </w:pPr>
      <w:r>
        <w:rPr>
          <w:rFonts w:hint="eastAsia" w:ascii="宋体" w:hAnsi="宋体" w:cs="宋体"/>
          <w:b/>
          <w:bCs/>
          <w:color w:val="auto"/>
          <w:sz w:val="24"/>
        </w:rPr>
        <w:t>第十二条</w:t>
      </w:r>
      <w:r>
        <w:rPr>
          <w:rFonts w:hint="eastAsia" w:ascii="宋体" w:hAnsi="宋体" w:cs="宋体"/>
          <w:color w:val="auto"/>
          <w:sz w:val="24"/>
        </w:rPr>
        <w:t xml:space="preserve">  购置办公用品、低值易耗品、材料、电子配件、图书等，报销时应附税局印制格式并加盖供货单位发票专用章的货物清单；需要存放到仓库的，报账前应填材料入库单，然后凭入库单连同发票按程序报批，入库单应有保管员或验收员签字；采用科研项目经费购置而没有办法存放到仓库的，必须在发票背面签上领用人员的姓名；检测费发票报销时须提供由出具单位盖章的检测测试清单或检测测试报告；如果由于网上购买，无法取得加盖印章清单的，则必须打印订单，两人以上验收签名。</w:t>
      </w:r>
    </w:p>
    <w:p w14:paraId="7818FB8A">
      <w:pPr>
        <w:keepNext w:val="0"/>
        <w:keepLines w:val="0"/>
        <w:pageBreakBefore w:val="0"/>
        <w:tabs>
          <w:tab w:val="left" w:pos="0"/>
        </w:tabs>
        <w:kinsoku/>
        <w:wordWrap/>
        <w:overflowPunct/>
        <w:topLinePunct w:val="0"/>
        <w:autoSpaceDE/>
        <w:autoSpaceDN/>
        <w:bidi w:val="0"/>
        <w:adjustRightInd/>
        <w:spacing w:line="440" w:lineRule="exact"/>
        <w:ind w:firstLine="482" w:firstLineChars="200"/>
        <w:outlineLvl w:val="1"/>
        <w:rPr>
          <w:rFonts w:ascii="宋体" w:hAnsi="宋体" w:cs="宋体"/>
          <w:color w:val="auto"/>
          <w:sz w:val="24"/>
        </w:rPr>
      </w:pPr>
      <w:r>
        <w:rPr>
          <w:rFonts w:hint="eastAsia" w:ascii="宋体" w:hAnsi="宋体" w:cs="宋体"/>
          <w:b/>
          <w:bCs/>
          <w:color w:val="auto"/>
          <w:sz w:val="24"/>
        </w:rPr>
        <w:t>第十三条</w:t>
      </w:r>
      <w:r>
        <w:rPr>
          <w:rFonts w:hint="eastAsia" w:ascii="宋体" w:hAnsi="宋体" w:cs="宋体"/>
          <w:color w:val="auto"/>
          <w:sz w:val="24"/>
        </w:rPr>
        <w:t xml:space="preserve">  凡购买固定资产的，报账之前，先送资产管理部门登记，并填制固定资产增加单（一式四联），再凭填制的资产增加单（报账联）连同购物发票等相关资料按程序报批。</w:t>
      </w:r>
    </w:p>
    <w:p w14:paraId="3EF78F88">
      <w:pPr>
        <w:keepNext w:val="0"/>
        <w:keepLines w:val="0"/>
        <w:pageBreakBefore w:val="0"/>
        <w:tabs>
          <w:tab w:val="left" w:pos="0"/>
        </w:tabs>
        <w:kinsoku/>
        <w:wordWrap/>
        <w:overflowPunct/>
        <w:topLinePunct w:val="0"/>
        <w:autoSpaceDE/>
        <w:autoSpaceDN/>
        <w:bidi w:val="0"/>
        <w:adjustRightInd/>
        <w:spacing w:line="440" w:lineRule="exact"/>
        <w:ind w:firstLine="482" w:firstLineChars="200"/>
        <w:outlineLvl w:val="1"/>
        <w:rPr>
          <w:rFonts w:ascii="宋体" w:hAnsi="宋体" w:cs="宋体"/>
          <w:color w:val="auto"/>
          <w:sz w:val="24"/>
        </w:rPr>
      </w:pPr>
      <w:r>
        <w:rPr>
          <w:rFonts w:hint="eastAsia" w:ascii="宋体" w:hAnsi="宋体" w:cs="宋体"/>
          <w:b/>
          <w:bCs/>
          <w:color w:val="auto"/>
          <w:sz w:val="24"/>
        </w:rPr>
        <w:t>第十四条</w:t>
      </w:r>
      <w:r>
        <w:rPr>
          <w:rFonts w:hint="eastAsia" w:ascii="宋体" w:hAnsi="宋体" w:cs="宋体"/>
          <w:color w:val="auto"/>
          <w:sz w:val="24"/>
        </w:rPr>
        <w:t xml:space="preserve"> 报账人必须将各种原始票据按经济内容进行分类，从右至左呈阶梯状依次粘贴在“原始凭证粘贴单”上，并根据报销内容填写与业务对应类型匹配的报销单，如实填写报销事由、金额和附件张数等。报账人、经手人、证明人（或验收人）和经费负责人在发票背面签名，经办人和验收人不能同为一人。不按照规范要求填写和粘贴的报销单，计划财务处不予受理。</w:t>
      </w:r>
    </w:p>
    <w:p w14:paraId="18580018">
      <w:pPr>
        <w:keepNext w:val="0"/>
        <w:keepLines w:val="0"/>
        <w:pageBreakBefore w:val="0"/>
        <w:tabs>
          <w:tab w:val="left" w:pos="0"/>
        </w:tabs>
        <w:kinsoku/>
        <w:wordWrap/>
        <w:overflowPunct/>
        <w:topLinePunct w:val="0"/>
        <w:autoSpaceDE/>
        <w:autoSpaceDN/>
        <w:bidi w:val="0"/>
        <w:adjustRightInd/>
        <w:spacing w:line="440" w:lineRule="exact"/>
        <w:ind w:firstLine="482" w:firstLineChars="200"/>
        <w:outlineLvl w:val="1"/>
        <w:rPr>
          <w:rFonts w:ascii="宋体" w:hAnsi="宋体" w:cs="宋体"/>
          <w:color w:val="auto"/>
          <w:sz w:val="24"/>
        </w:rPr>
      </w:pPr>
      <w:r>
        <w:rPr>
          <w:rFonts w:hint="eastAsia" w:ascii="宋体" w:hAnsi="宋体" w:cs="宋体"/>
          <w:b/>
          <w:bCs/>
          <w:color w:val="auto"/>
          <w:sz w:val="24"/>
        </w:rPr>
        <w:t>第十五条</w:t>
      </w:r>
      <w:r>
        <w:rPr>
          <w:rFonts w:hint="eastAsia" w:ascii="宋体" w:hAnsi="宋体" w:cs="宋体"/>
          <w:color w:val="auto"/>
          <w:sz w:val="24"/>
        </w:rPr>
        <w:t xml:space="preserve">  当期发生的经济业务应及时报账，业务票据须合法且出具时间至报账时间最长不超过一年（含一年）。科研、课改等项目经费须在项目建设期结束三个月之内报账完毕。</w:t>
      </w:r>
    </w:p>
    <w:p w14:paraId="01D38DCB">
      <w:pPr>
        <w:pStyle w:val="3"/>
        <w:keepNext w:val="0"/>
        <w:keepLines w:val="0"/>
        <w:pageBreakBefore w:val="0"/>
        <w:widowControl w:val="0"/>
        <w:kinsoku/>
        <w:wordWrap/>
        <w:overflowPunct/>
        <w:topLinePunct w:val="0"/>
        <w:autoSpaceDE/>
        <w:autoSpaceDN/>
        <w:bidi w:val="0"/>
        <w:adjustRightInd/>
        <w:spacing w:before="156" w:beforeLines="50" w:beforeAutospacing="0" w:after="156" w:afterLines="50" w:afterAutospacing="0" w:line="440" w:lineRule="exact"/>
        <w:jc w:val="center"/>
        <w:textAlignment w:val="auto"/>
        <w:outlineLvl w:val="1"/>
        <w:rPr>
          <w:b/>
          <w:bCs/>
          <w:color w:val="auto"/>
        </w:rPr>
      </w:pPr>
      <w:bookmarkStart w:id="12" w:name="_Toc16061"/>
      <w:bookmarkStart w:id="13" w:name="_Toc13641"/>
      <w:r>
        <w:rPr>
          <w:rFonts w:hint="eastAsia"/>
          <w:b/>
          <w:bCs/>
          <w:color w:val="auto"/>
        </w:rPr>
        <w:t>第四章  财务结算方式</w:t>
      </w:r>
      <w:bookmarkEnd w:id="12"/>
      <w:bookmarkEnd w:id="13"/>
    </w:p>
    <w:p w14:paraId="1A4FB2B5">
      <w:pPr>
        <w:keepNext w:val="0"/>
        <w:keepLines w:val="0"/>
        <w:pageBreakBefore w:val="0"/>
        <w:tabs>
          <w:tab w:val="left" w:pos="0"/>
        </w:tabs>
        <w:kinsoku/>
        <w:wordWrap/>
        <w:overflowPunct/>
        <w:topLinePunct w:val="0"/>
        <w:autoSpaceDE/>
        <w:autoSpaceDN/>
        <w:bidi w:val="0"/>
        <w:adjustRightInd/>
        <w:spacing w:line="440" w:lineRule="exact"/>
        <w:ind w:firstLine="482" w:firstLineChars="200"/>
        <w:outlineLvl w:val="1"/>
        <w:rPr>
          <w:rFonts w:ascii="宋体" w:hAnsi="宋体" w:cs="宋体"/>
          <w:color w:val="auto"/>
          <w:sz w:val="24"/>
        </w:rPr>
      </w:pPr>
      <w:r>
        <w:rPr>
          <w:rFonts w:hint="eastAsia" w:ascii="宋体" w:hAnsi="宋体" w:cs="宋体"/>
          <w:b/>
          <w:bCs/>
          <w:color w:val="auto"/>
          <w:sz w:val="24"/>
        </w:rPr>
        <w:t>第十六条</w:t>
      </w:r>
      <w:r>
        <w:rPr>
          <w:rFonts w:hint="eastAsia" w:ascii="宋体" w:hAnsi="宋体" w:cs="宋体"/>
          <w:color w:val="auto"/>
          <w:sz w:val="24"/>
        </w:rPr>
        <w:t xml:space="preserve">  按上级相关部门的要求，学院严格控制现金支出，单笔经济业务金额1000元及以上的支出，应该采用对公转账（支票或汇款）、公务卡方式结算，原则上不得使用现金结算。</w:t>
      </w:r>
    </w:p>
    <w:p w14:paraId="3BD0952A">
      <w:pPr>
        <w:keepNext w:val="0"/>
        <w:keepLines w:val="0"/>
        <w:pageBreakBefore w:val="0"/>
        <w:tabs>
          <w:tab w:val="left" w:pos="0"/>
        </w:tabs>
        <w:kinsoku/>
        <w:wordWrap/>
        <w:overflowPunct/>
        <w:topLinePunct w:val="0"/>
        <w:autoSpaceDE/>
        <w:autoSpaceDN/>
        <w:bidi w:val="0"/>
        <w:adjustRightInd/>
        <w:spacing w:line="440" w:lineRule="exact"/>
        <w:ind w:firstLine="480" w:firstLineChars="200"/>
        <w:outlineLvl w:val="1"/>
        <w:rPr>
          <w:rFonts w:ascii="宋体" w:hAnsi="宋体" w:cs="宋体"/>
          <w:color w:val="auto"/>
          <w:sz w:val="24"/>
        </w:rPr>
      </w:pPr>
      <w:r>
        <w:rPr>
          <w:rFonts w:hint="eastAsia" w:ascii="宋体" w:hAnsi="宋体" w:cs="宋体"/>
          <w:color w:val="auto"/>
          <w:sz w:val="24"/>
        </w:rPr>
        <w:t>接待费、差旅费、培训费、办公用品等零星购买支出，原则上应严格执行《汕头职业技术学院财政公务卡管理办法》，使用财政公务卡方式转账结算，不得使用现金。其中，差旅补贴，也不得发放现金，由计划财务处直接转入个人账户。</w:t>
      </w:r>
    </w:p>
    <w:p w14:paraId="6FAFF186">
      <w:pPr>
        <w:keepNext w:val="0"/>
        <w:keepLines w:val="0"/>
        <w:pageBreakBefore w:val="0"/>
        <w:tabs>
          <w:tab w:val="left" w:pos="0"/>
        </w:tabs>
        <w:kinsoku/>
        <w:wordWrap/>
        <w:overflowPunct/>
        <w:topLinePunct w:val="0"/>
        <w:autoSpaceDE/>
        <w:autoSpaceDN/>
        <w:bidi w:val="0"/>
        <w:adjustRightInd/>
        <w:spacing w:line="440" w:lineRule="exact"/>
        <w:ind w:firstLine="482" w:firstLineChars="200"/>
        <w:outlineLvl w:val="1"/>
        <w:rPr>
          <w:rFonts w:ascii="宋体" w:hAnsi="宋体" w:cs="宋体"/>
          <w:color w:val="auto"/>
          <w:sz w:val="24"/>
        </w:rPr>
      </w:pPr>
      <w:r>
        <w:rPr>
          <w:rFonts w:hint="eastAsia" w:ascii="宋体" w:hAnsi="宋体" w:cs="宋体"/>
          <w:b/>
          <w:bCs/>
          <w:color w:val="auto"/>
          <w:sz w:val="24"/>
        </w:rPr>
        <w:t>第十七条</w:t>
      </w:r>
      <w:r>
        <w:rPr>
          <w:rFonts w:hint="eastAsia" w:ascii="宋体" w:hAnsi="宋体" w:cs="宋体"/>
          <w:color w:val="auto"/>
          <w:sz w:val="24"/>
        </w:rPr>
        <w:t xml:space="preserve">  因特殊情况未按规定使用公务卡的，必须写明原因，经分管财务院领导审批后方能报销。</w:t>
      </w:r>
    </w:p>
    <w:p w14:paraId="7553F43B">
      <w:pPr>
        <w:pStyle w:val="3"/>
        <w:keepNext w:val="0"/>
        <w:keepLines w:val="0"/>
        <w:pageBreakBefore w:val="0"/>
        <w:widowControl w:val="0"/>
        <w:kinsoku/>
        <w:wordWrap/>
        <w:overflowPunct/>
        <w:topLinePunct w:val="0"/>
        <w:autoSpaceDE/>
        <w:autoSpaceDN/>
        <w:bidi w:val="0"/>
        <w:adjustRightInd/>
        <w:spacing w:before="156" w:beforeLines="50" w:beforeAutospacing="0" w:after="156" w:afterLines="50" w:afterAutospacing="0" w:line="440" w:lineRule="exact"/>
        <w:jc w:val="center"/>
        <w:textAlignment w:val="auto"/>
        <w:outlineLvl w:val="1"/>
        <w:rPr>
          <w:b/>
          <w:bCs/>
          <w:color w:val="auto"/>
        </w:rPr>
      </w:pPr>
      <w:r>
        <w:rPr>
          <w:rFonts w:hint="eastAsia"/>
          <w:b/>
          <w:bCs/>
          <w:color w:val="auto"/>
        </w:rPr>
        <w:t xml:space="preserve"> </w:t>
      </w:r>
      <w:bookmarkStart w:id="14" w:name="_Toc5929"/>
      <w:bookmarkStart w:id="15" w:name="_Toc1262"/>
      <w:r>
        <w:rPr>
          <w:rFonts w:hint="eastAsia"/>
          <w:b/>
          <w:bCs/>
          <w:color w:val="auto"/>
        </w:rPr>
        <w:t>第五章  借款业务</w:t>
      </w:r>
      <w:bookmarkEnd w:id="14"/>
      <w:bookmarkEnd w:id="15"/>
    </w:p>
    <w:p w14:paraId="736791CB">
      <w:pPr>
        <w:keepNext w:val="0"/>
        <w:keepLines w:val="0"/>
        <w:pageBreakBefore w:val="0"/>
        <w:tabs>
          <w:tab w:val="left" w:pos="0"/>
        </w:tabs>
        <w:kinsoku/>
        <w:wordWrap/>
        <w:overflowPunct/>
        <w:topLinePunct w:val="0"/>
        <w:autoSpaceDE/>
        <w:autoSpaceDN/>
        <w:bidi w:val="0"/>
        <w:adjustRightInd/>
        <w:spacing w:line="440" w:lineRule="exact"/>
        <w:ind w:firstLine="482" w:firstLineChars="200"/>
        <w:outlineLvl w:val="1"/>
        <w:rPr>
          <w:rFonts w:ascii="宋体" w:hAnsi="宋体" w:cs="宋体"/>
          <w:color w:val="auto"/>
          <w:sz w:val="24"/>
        </w:rPr>
      </w:pPr>
      <w:r>
        <w:rPr>
          <w:rFonts w:hint="eastAsia" w:ascii="宋体" w:hAnsi="宋体" w:cs="宋体"/>
          <w:b/>
          <w:bCs/>
          <w:color w:val="auto"/>
          <w:sz w:val="24"/>
        </w:rPr>
        <w:t>第十八条</w:t>
      </w:r>
      <w:r>
        <w:rPr>
          <w:rFonts w:hint="eastAsia" w:ascii="宋体" w:hAnsi="宋体" w:cs="宋体"/>
          <w:color w:val="auto"/>
          <w:sz w:val="24"/>
        </w:rPr>
        <w:t xml:space="preserve">  学院公款一律不得私借，确因公务业务需要，才能办理借款。借款人必须为学院在编人员，借款人办理借款时必须填写“汕头职业技术学院借款单”，将审批文件、合同等作为附件，按经济责任审批权限审批后，方可办理借款。款项借出后，借款人应及时还款或持有关合法票据到计划财务处办理冲账手续。</w:t>
      </w:r>
    </w:p>
    <w:p w14:paraId="5F2F66BD">
      <w:pPr>
        <w:keepNext w:val="0"/>
        <w:keepLines w:val="0"/>
        <w:pageBreakBefore w:val="0"/>
        <w:tabs>
          <w:tab w:val="left" w:pos="0"/>
        </w:tabs>
        <w:kinsoku/>
        <w:wordWrap/>
        <w:overflowPunct/>
        <w:topLinePunct w:val="0"/>
        <w:autoSpaceDE/>
        <w:autoSpaceDN/>
        <w:bidi w:val="0"/>
        <w:adjustRightInd/>
        <w:spacing w:line="440" w:lineRule="exact"/>
        <w:ind w:firstLine="482" w:firstLineChars="200"/>
        <w:outlineLvl w:val="1"/>
        <w:rPr>
          <w:rFonts w:ascii="宋体" w:hAnsi="宋体" w:cs="宋体"/>
          <w:color w:val="auto"/>
          <w:sz w:val="24"/>
        </w:rPr>
      </w:pPr>
      <w:bookmarkStart w:id="16" w:name="OLE_LINK5"/>
      <w:r>
        <w:rPr>
          <w:rFonts w:hint="eastAsia" w:ascii="宋体" w:hAnsi="宋体" w:cs="宋体"/>
          <w:b/>
          <w:bCs/>
          <w:color w:val="auto"/>
          <w:sz w:val="24"/>
        </w:rPr>
        <w:t xml:space="preserve">第十九条 </w:t>
      </w:r>
      <w:r>
        <w:rPr>
          <w:rFonts w:hint="eastAsia" w:ascii="宋体" w:hAnsi="宋体" w:cs="宋体"/>
          <w:color w:val="auto"/>
          <w:sz w:val="24"/>
        </w:rPr>
        <w:t xml:space="preserve"> 因公借款一般按“前账未清，后账不借”的原则办理。若某类业务正在进行中导致“前账未清”的，经申请分管财务副院长同意，方可办理借款。</w:t>
      </w:r>
    </w:p>
    <w:p w14:paraId="3C44E774">
      <w:pPr>
        <w:keepNext w:val="0"/>
        <w:keepLines w:val="0"/>
        <w:pageBreakBefore w:val="0"/>
        <w:tabs>
          <w:tab w:val="left" w:pos="0"/>
        </w:tabs>
        <w:kinsoku/>
        <w:wordWrap/>
        <w:overflowPunct/>
        <w:topLinePunct w:val="0"/>
        <w:autoSpaceDE/>
        <w:autoSpaceDN/>
        <w:bidi w:val="0"/>
        <w:adjustRightInd/>
        <w:spacing w:line="440" w:lineRule="exact"/>
        <w:ind w:firstLine="482" w:firstLineChars="200"/>
        <w:outlineLvl w:val="1"/>
        <w:rPr>
          <w:rFonts w:ascii="宋体" w:hAnsi="宋体" w:cs="宋体"/>
          <w:color w:val="auto"/>
          <w:sz w:val="24"/>
        </w:rPr>
      </w:pPr>
      <w:r>
        <w:rPr>
          <w:rFonts w:hint="eastAsia" w:ascii="宋体" w:hAnsi="宋体" w:cs="宋体"/>
          <w:b/>
          <w:bCs/>
          <w:color w:val="auto"/>
          <w:sz w:val="24"/>
        </w:rPr>
        <w:t xml:space="preserve">第二十条 </w:t>
      </w:r>
      <w:r>
        <w:rPr>
          <w:rFonts w:hint="eastAsia" w:ascii="宋体" w:hAnsi="宋体" w:cs="宋体"/>
          <w:color w:val="auto"/>
          <w:sz w:val="24"/>
        </w:rPr>
        <w:t xml:space="preserve"> 因办理收款业务需先行出具发票的情况下，预借发票（票据）人员（简称“借票人”）必须是我院在职人员，借票时须填写“借用发票申请单”，承诺交还日期并按规定的程序办理审批手续后方可借出。</w:t>
      </w:r>
    </w:p>
    <w:p w14:paraId="343D0C47">
      <w:pPr>
        <w:keepNext w:val="0"/>
        <w:keepLines w:val="0"/>
        <w:pageBreakBefore w:val="0"/>
        <w:tabs>
          <w:tab w:val="left" w:pos="0"/>
        </w:tabs>
        <w:kinsoku/>
        <w:wordWrap/>
        <w:overflowPunct/>
        <w:topLinePunct w:val="0"/>
        <w:autoSpaceDE/>
        <w:autoSpaceDN/>
        <w:bidi w:val="0"/>
        <w:adjustRightInd/>
        <w:spacing w:line="440" w:lineRule="exact"/>
        <w:ind w:firstLine="482" w:firstLineChars="200"/>
        <w:outlineLvl w:val="1"/>
        <w:rPr>
          <w:rFonts w:ascii="宋体" w:hAnsi="宋体" w:cs="宋体"/>
          <w:color w:val="auto"/>
          <w:sz w:val="24"/>
        </w:rPr>
      </w:pPr>
      <w:r>
        <w:rPr>
          <w:rFonts w:hint="eastAsia" w:ascii="宋体" w:hAnsi="宋体" w:cs="宋体"/>
          <w:b/>
          <w:bCs/>
          <w:color w:val="auto"/>
          <w:sz w:val="24"/>
        </w:rPr>
        <w:t xml:space="preserve">第二十一条 </w:t>
      </w:r>
      <w:r>
        <w:rPr>
          <w:rFonts w:hint="eastAsia" w:ascii="宋体" w:hAnsi="宋体" w:cs="宋体"/>
          <w:color w:val="auto"/>
          <w:sz w:val="24"/>
        </w:rPr>
        <w:t xml:space="preserve"> 借票人应督促付款人在规定期限内及时将资金划入学院指定账号，否则由借票人承担一切经济责任。</w:t>
      </w:r>
    </w:p>
    <w:bookmarkEnd w:id="16"/>
    <w:p w14:paraId="7D094458">
      <w:pPr>
        <w:pStyle w:val="3"/>
        <w:keepNext w:val="0"/>
        <w:keepLines w:val="0"/>
        <w:pageBreakBefore w:val="0"/>
        <w:widowControl w:val="0"/>
        <w:kinsoku/>
        <w:wordWrap/>
        <w:overflowPunct/>
        <w:topLinePunct w:val="0"/>
        <w:autoSpaceDE/>
        <w:autoSpaceDN/>
        <w:bidi w:val="0"/>
        <w:adjustRightInd/>
        <w:spacing w:before="156" w:beforeLines="50" w:beforeAutospacing="0" w:after="156" w:afterLines="50" w:afterAutospacing="0" w:line="440" w:lineRule="exact"/>
        <w:jc w:val="center"/>
        <w:textAlignment w:val="auto"/>
        <w:outlineLvl w:val="1"/>
        <w:rPr>
          <w:b/>
          <w:bCs/>
          <w:color w:val="auto"/>
        </w:rPr>
      </w:pPr>
      <w:bookmarkStart w:id="17" w:name="_Toc19461"/>
      <w:bookmarkStart w:id="18" w:name="_Toc14300"/>
      <w:r>
        <w:rPr>
          <w:rFonts w:hint="eastAsia"/>
          <w:b/>
          <w:bCs/>
          <w:color w:val="auto"/>
        </w:rPr>
        <w:t>第六章  个人收入发放支出</w:t>
      </w:r>
      <w:bookmarkEnd w:id="17"/>
      <w:bookmarkEnd w:id="18"/>
    </w:p>
    <w:p w14:paraId="4EE381C8">
      <w:pPr>
        <w:keepNext w:val="0"/>
        <w:keepLines w:val="0"/>
        <w:pageBreakBefore w:val="0"/>
        <w:tabs>
          <w:tab w:val="left" w:pos="0"/>
        </w:tabs>
        <w:kinsoku/>
        <w:wordWrap/>
        <w:overflowPunct/>
        <w:topLinePunct w:val="0"/>
        <w:autoSpaceDE/>
        <w:autoSpaceDN/>
        <w:bidi w:val="0"/>
        <w:adjustRightInd/>
        <w:spacing w:line="440" w:lineRule="exact"/>
        <w:ind w:firstLine="482" w:firstLineChars="200"/>
        <w:outlineLvl w:val="1"/>
        <w:rPr>
          <w:rFonts w:ascii="宋体" w:hAnsi="宋体" w:cs="宋体"/>
          <w:color w:val="auto"/>
          <w:sz w:val="24"/>
        </w:rPr>
      </w:pPr>
      <w:r>
        <w:rPr>
          <w:rFonts w:hint="eastAsia" w:ascii="宋体" w:hAnsi="宋体" w:cs="宋体"/>
          <w:b/>
          <w:bCs/>
          <w:color w:val="auto"/>
          <w:sz w:val="24"/>
        </w:rPr>
        <w:t>第二十二条</w:t>
      </w:r>
      <w:r>
        <w:rPr>
          <w:rFonts w:hint="eastAsia" w:ascii="宋体" w:hAnsi="宋体" w:cs="宋体"/>
          <w:color w:val="auto"/>
          <w:sz w:val="24"/>
        </w:rPr>
        <w:t xml:space="preserve">  学院个人收入发放包括教职工和离退休人员工资津贴、酬金、福利费，学生奖助学金、勤工助学费和外请人员劳务费等。人员支出费用标准执行上级及学院有关规定。</w:t>
      </w:r>
    </w:p>
    <w:p w14:paraId="30D77B74">
      <w:pPr>
        <w:keepNext w:val="0"/>
        <w:keepLines w:val="0"/>
        <w:pageBreakBefore w:val="0"/>
        <w:tabs>
          <w:tab w:val="left" w:pos="0"/>
        </w:tabs>
        <w:kinsoku/>
        <w:wordWrap/>
        <w:overflowPunct/>
        <w:topLinePunct w:val="0"/>
        <w:autoSpaceDE/>
        <w:autoSpaceDN/>
        <w:bidi w:val="0"/>
        <w:adjustRightInd/>
        <w:spacing w:line="440" w:lineRule="exact"/>
        <w:ind w:firstLine="482" w:firstLineChars="200"/>
        <w:outlineLvl w:val="1"/>
        <w:rPr>
          <w:rFonts w:ascii="宋体" w:hAnsi="宋体" w:cs="宋体"/>
          <w:color w:val="auto"/>
          <w:sz w:val="24"/>
        </w:rPr>
      </w:pPr>
      <w:r>
        <w:rPr>
          <w:rFonts w:hint="eastAsia" w:ascii="宋体" w:hAnsi="宋体" w:cs="宋体"/>
          <w:b/>
          <w:bCs/>
          <w:color w:val="auto"/>
          <w:sz w:val="24"/>
        </w:rPr>
        <w:t>第二十三条</w:t>
      </w:r>
      <w:r>
        <w:rPr>
          <w:rFonts w:hint="eastAsia" w:ascii="宋体" w:hAnsi="宋体" w:cs="宋体"/>
          <w:color w:val="auto"/>
          <w:sz w:val="24"/>
        </w:rPr>
        <w:t xml:space="preserve">  各部门专项经费中无人员经费预算的不得开支人员支出费用，凡属部门职责范围内的工作，该部门参与人员一律不得发放劳务费；在校学生的有偿劳务，均通过勤工俭学活动安排开支。</w:t>
      </w:r>
    </w:p>
    <w:p w14:paraId="27249B1A">
      <w:pPr>
        <w:keepNext w:val="0"/>
        <w:keepLines w:val="0"/>
        <w:pageBreakBefore w:val="0"/>
        <w:tabs>
          <w:tab w:val="left" w:pos="0"/>
        </w:tabs>
        <w:kinsoku/>
        <w:wordWrap/>
        <w:overflowPunct/>
        <w:topLinePunct w:val="0"/>
        <w:autoSpaceDE/>
        <w:autoSpaceDN/>
        <w:bidi w:val="0"/>
        <w:adjustRightInd/>
        <w:spacing w:line="440" w:lineRule="exact"/>
        <w:ind w:firstLine="482" w:firstLineChars="200"/>
        <w:outlineLvl w:val="1"/>
        <w:rPr>
          <w:rFonts w:ascii="宋体" w:hAnsi="宋体" w:cs="宋体"/>
          <w:color w:val="auto"/>
          <w:sz w:val="24"/>
        </w:rPr>
      </w:pPr>
      <w:r>
        <w:rPr>
          <w:rFonts w:hint="eastAsia" w:ascii="宋体" w:hAnsi="宋体" w:cs="宋体"/>
          <w:b/>
          <w:bCs/>
          <w:color w:val="auto"/>
          <w:sz w:val="24"/>
        </w:rPr>
        <w:t xml:space="preserve">第二十四条 </w:t>
      </w:r>
      <w:r>
        <w:rPr>
          <w:rFonts w:hint="eastAsia" w:ascii="宋体" w:hAnsi="宋体" w:cs="宋体"/>
          <w:color w:val="auto"/>
          <w:sz w:val="24"/>
        </w:rPr>
        <w:t xml:space="preserve"> 支付给校外人员的课酬、监考费、实习指导费、评审费等，必须填写发放申请表，原则上直接支付至校外人员提供的个人存款账户，如特殊情况需要支付现金，则须有本人签收或银行转账证明。填报发放申请表时，必须同时填报发放对象的身份证号码，便于代扣个人所得税。</w:t>
      </w:r>
    </w:p>
    <w:p w14:paraId="2D479B91">
      <w:pPr>
        <w:keepNext w:val="0"/>
        <w:keepLines w:val="0"/>
        <w:pageBreakBefore w:val="0"/>
        <w:tabs>
          <w:tab w:val="left" w:pos="0"/>
        </w:tabs>
        <w:kinsoku/>
        <w:wordWrap/>
        <w:overflowPunct/>
        <w:topLinePunct w:val="0"/>
        <w:autoSpaceDE/>
        <w:autoSpaceDN/>
        <w:bidi w:val="0"/>
        <w:adjustRightInd/>
        <w:spacing w:line="440" w:lineRule="exact"/>
        <w:ind w:firstLine="482" w:firstLineChars="200"/>
        <w:outlineLvl w:val="1"/>
        <w:rPr>
          <w:rFonts w:ascii="宋体" w:hAnsi="宋体" w:cs="宋体"/>
          <w:color w:val="auto"/>
          <w:sz w:val="24"/>
        </w:rPr>
      </w:pPr>
      <w:r>
        <w:rPr>
          <w:rFonts w:hint="eastAsia" w:ascii="宋体" w:hAnsi="宋体" w:cs="宋体"/>
          <w:b/>
          <w:bCs/>
          <w:color w:val="auto"/>
          <w:sz w:val="24"/>
        </w:rPr>
        <w:t>第二十五条</w:t>
      </w:r>
      <w:r>
        <w:rPr>
          <w:rFonts w:hint="eastAsia" w:ascii="宋体" w:hAnsi="宋体" w:cs="宋体"/>
          <w:color w:val="auto"/>
          <w:sz w:val="24"/>
        </w:rPr>
        <w:t xml:space="preserve">  支付给学生的勤工俭学款或各类奖金，由经办人在计划财务处指定单据填写发放申请表，发放至学生银行账户，如特殊情况需要支付现金，必须提供学生本人联系电话、签收单。</w:t>
      </w:r>
    </w:p>
    <w:p w14:paraId="2E78E27F">
      <w:pPr>
        <w:pStyle w:val="3"/>
        <w:keepNext w:val="0"/>
        <w:keepLines w:val="0"/>
        <w:pageBreakBefore w:val="0"/>
        <w:widowControl w:val="0"/>
        <w:kinsoku/>
        <w:wordWrap/>
        <w:overflowPunct/>
        <w:topLinePunct w:val="0"/>
        <w:autoSpaceDE/>
        <w:autoSpaceDN/>
        <w:bidi w:val="0"/>
        <w:adjustRightInd/>
        <w:spacing w:before="156" w:beforeLines="50" w:beforeAutospacing="0" w:after="156" w:afterLines="50" w:afterAutospacing="0" w:line="440" w:lineRule="exact"/>
        <w:jc w:val="center"/>
        <w:textAlignment w:val="auto"/>
        <w:outlineLvl w:val="1"/>
        <w:rPr>
          <w:b/>
          <w:bCs/>
          <w:color w:val="auto"/>
        </w:rPr>
      </w:pPr>
      <w:bookmarkStart w:id="19" w:name="_Toc8268"/>
      <w:bookmarkStart w:id="20" w:name="_Toc5729"/>
      <w:r>
        <w:rPr>
          <w:rFonts w:hint="eastAsia"/>
          <w:b/>
          <w:bCs/>
          <w:color w:val="auto"/>
        </w:rPr>
        <w:t>第七章  采购支出</w:t>
      </w:r>
      <w:bookmarkEnd w:id="19"/>
      <w:bookmarkEnd w:id="20"/>
    </w:p>
    <w:p w14:paraId="2CE8F0EA">
      <w:pPr>
        <w:keepNext w:val="0"/>
        <w:keepLines w:val="0"/>
        <w:pageBreakBefore w:val="0"/>
        <w:tabs>
          <w:tab w:val="left" w:pos="0"/>
        </w:tabs>
        <w:kinsoku/>
        <w:wordWrap/>
        <w:overflowPunct/>
        <w:topLinePunct w:val="0"/>
        <w:autoSpaceDE/>
        <w:autoSpaceDN/>
        <w:bidi w:val="0"/>
        <w:adjustRightInd/>
        <w:spacing w:line="440" w:lineRule="exact"/>
        <w:ind w:firstLine="482" w:firstLineChars="200"/>
        <w:outlineLvl w:val="1"/>
        <w:rPr>
          <w:rFonts w:ascii="宋体" w:hAnsi="宋体" w:cs="宋体"/>
          <w:color w:val="auto"/>
          <w:sz w:val="24"/>
        </w:rPr>
      </w:pPr>
      <w:r>
        <w:rPr>
          <w:rFonts w:hint="eastAsia" w:ascii="宋体" w:hAnsi="宋体" w:cs="宋体"/>
          <w:b/>
          <w:bCs/>
          <w:color w:val="auto"/>
          <w:sz w:val="24"/>
        </w:rPr>
        <w:t xml:space="preserve">第二十六条  </w:t>
      </w:r>
      <w:r>
        <w:rPr>
          <w:rFonts w:hint="eastAsia" w:ascii="宋体" w:hAnsi="宋体" w:cs="宋体"/>
          <w:color w:val="auto"/>
          <w:sz w:val="24"/>
        </w:rPr>
        <w:t>采购项目的支出执行学院的招标采购管理办法相关规定，按程序报批。</w:t>
      </w:r>
    </w:p>
    <w:p w14:paraId="4B7803E2">
      <w:pPr>
        <w:keepNext w:val="0"/>
        <w:keepLines w:val="0"/>
        <w:pageBreakBefore w:val="0"/>
        <w:tabs>
          <w:tab w:val="left" w:pos="0"/>
        </w:tabs>
        <w:kinsoku/>
        <w:wordWrap/>
        <w:overflowPunct/>
        <w:topLinePunct w:val="0"/>
        <w:autoSpaceDE/>
        <w:autoSpaceDN/>
        <w:bidi w:val="0"/>
        <w:adjustRightInd/>
        <w:spacing w:line="440" w:lineRule="exact"/>
        <w:ind w:firstLine="480" w:firstLineChars="200"/>
        <w:outlineLvl w:val="1"/>
        <w:rPr>
          <w:rFonts w:ascii="宋体" w:hAnsi="宋体" w:cs="宋体"/>
          <w:color w:val="auto"/>
          <w:sz w:val="24"/>
        </w:rPr>
      </w:pPr>
      <w:r>
        <w:rPr>
          <w:rFonts w:hint="eastAsia" w:ascii="宋体" w:hAnsi="宋体" w:cs="宋体"/>
          <w:color w:val="auto"/>
          <w:sz w:val="24"/>
        </w:rPr>
        <w:t xml:space="preserve">（一）凡属于政府采购目录内的、或政府采购目录外但达到政府采购限额标准的项目，报账时须附政府采购计划备案表、采购合同原件连同发票以及按国库支付中心要求必须提供的其他相关资料； </w:t>
      </w:r>
    </w:p>
    <w:p w14:paraId="3D4E301E">
      <w:pPr>
        <w:keepNext w:val="0"/>
        <w:keepLines w:val="0"/>
        <w:pageBreakBefore w:val="0"/>
        <w:tabs>
          <w:tab w:val="left" w:pos="0"/>
        </w:tabs>
        <w:kinsoku/>
        <w:wordWrap/>
        <w:overflowPunct/>
        <w:topLinePunct w:val="0"/>
        <w:autoSpaceDE/>
        <w:autoSpaceDN/>
        <w:bidi w:val="0"/>
        <w:adjustRightInd/>
        <w:spacing w:line="440" w:lineRule="exact"/>
        <w:ind w:firstLine="480" w:firstLineChars="200"/>
        <w:outlineLvl w:val="1"/>
        <w:rPr>
          <w:rFonts w:ascii="宋体" w:hAnsi="宋体" w:cs="宋体"/>
          <w:color w:val="auto"/>
          <w:sz w:val="24"/>
        </w:rPr>
      </w:pPr>
      <w:r>
        <w:rPr>
          <w:rFonts w:hint="eastAsia" w:ascii="宋体" w:hAnsi="宋体" w:cs="宋体"/>
          <w:color w:val="auto"/>
          <w:sz w:val="24"/>
        </w:rPr>
        <w:t>（二）凡部门自行采购的项目，采购前必须自行查阅对照当年度《汕头市政府集中采购目录及采购限额标准》文件，明确不属于政府集中采购目录规定的品目方可购买，否则，发生的经济业务不予报销；</w:t>
      </w:r>
    </w:p>
    <w:p w14:paraId="6AFD5535">
      <w:pPr>
        <w:keepNext w:val="0"/>
        <w:keepLines w:val="0"/>
        <w:pageBreakBefore w:val="0"/>
        <w:tabs>
          <w:tab w:val="left" w:pos="0"/>
        </w:tabs>
        <w:kinsoku/>
        <w:wordWrap/>
        <w:overflowPunct/>
        <w:topLinePunct w:val="0"/>
        <w:autoSpaceDE/>
        <w:autoSpaceDN/>
        <w:bidi w:val="0"/>
        <w:adjustRightInd/>
        <w:spacing w:line="440" w:lineRule="exact"/>
        <w:ind w:firstLine="480" w:firstLineChars="200"/>
        <w:outlineLvl w:val="1"/>
        <w:rPr>
          <w:rFonts w:ascii="宋体" w:hAnsi="宋体" w:cs="宋体"/>
          <w:color w:val="auto"/>
          <w:sz w:val="24"/>
        </w:rPr>
      </w:pPr>
      <w:r>
        <w:rPr>
          <w:rFonts w:hint="eastAsia" w:ascii="宋体" w:hAnsi="宋体" w:cs="宋体"/>
          <w:color w:val="auto"/>
          <w:sz w:val="24"/>
        </w:rPr>
        <w:t>（三）凡属于政府采购目录外且未达到政府采购限额标准的项目，由部门自行组织实施采购的，报销时须按采购管理办法规定附采购记录，有合同的必须附上合同等相关资料。</w:t>
      </w:r>
    </w:p>
    <w:p w14:paraId="1C118B6A">
      <w:pPr>
        <w:keepNext w:val="0"/>
        <w:keepLines w:val="0"/>
        <w:pageBreakBefore w:val="0"/>
        <w:tabs>
          <w:tab w:val="left" w:pos="0"/>
        </w:tabs>
        <w:kinsoku/>
        <w:wordWrap/>
        <w:overflowPunct/>
        <w:topLinePunct w:val="0"/>
        <w:autoSpaceDE/>
        <w:autoSpaceDN/>
        <w:bidi w:val="0"/>
        <w:adjustRightInd/>
        <w:spacing w:line="440" w:lineRule="exact"/>
        <w:ind w:firstLine="482" w:firstLineChars="200"/>
        <w:outlineLvl w:val="1"/>
        <w:rPr>
          <w:rFonts w:ascii="宋体" w:hAnsi="宋体" w:cs="宋体"/>
          <w:color w:val="auto"/>
          <w:sz w:val="24"/>
        </w:rPr>
      </w:pPr>
      <w:r>
        <w:rPr>
          <w:rFonts w:hint="eastAsia" w:ascii="宋体" w:hAnsi="宋体" w:cs="宋体"/>
          <w:b/>
          <w:bCs/>
          <w:color w:val="auto"/>
          <w:sz w:val="24"/>
        </w:rPr>
        <w:t>第二十七条</w:t>
      </w:r>
      <w:r>
        <w:rPr>
          <w:rFonts w:hint="eastAsia" w:ascii="宋体" w:hAnsi="宋体" w:cs="宋体"/>
          <w:color w:val="auto"/>
          <w:sz w:val="24"/>
        </w:rPr>
        <w:t xml:space="preserve">  使用期限超过一年，通用设备单价在1000元以上（含1000元）、专用设备单价1500元以上（含1500元），并在使用过程中基本保持原有物质形态的资产购置或能满足正常使用的自主研发产品应作固定资产核算和登记管理。</w:t>
      </w:r>
    </w:p>
    <w:p w14:paraId="08308245">
      <w:pPr>
        <w:keepNext w:val="0"/>
        <w:keepLines w:val="0"/>
        <w:pageBreakBefore w:val="0"/>
        <w:tabs>
          <w:tab w:val="left" w:pos="0"/>
        </w:tabs>
        <w:kinsoku/>
        <w:wordWrap/>
        <w:overflowPunct/>
        <w:topLinePunct w:val="0"/>
        <w:autoSpaceDE/>
        <w:autoSpaceDN/>
        <w:bidi w:val="0"/>
        <w:adjustRightInd/>
        <w:spacing w:line="440" w:lineRule="exact"/>
        <w:ind w:firstLine="480" w:firstLineChars="200"/>
        <w:outlineLvl w:val="1"/>
        <w:rPr>
          <w:rFonts w:ascii="宋体" w:hAnsi="宋体" w:cs="宋体"/>
          <w:color w:val="auto"/>
          <w:sz w:val="24"/>
        </w:rPr>
      </w:pPr>
      <w:r>
        <w:rPr>
          <w:rFonts w:hint="eastAsia" w:ascii="宋体" w:hAnsi="宋体" w:cs="宋体"/>
          <w:color w:val="auto"/>
          <w:sz w:val="24"/>
        </w:rPr>
        <w:t>使用期限超过一年，单价500元以上且成批采购的同种类同规格型号的大批物资须按固定资产验收入账并参照固定资产管理。</w:t>
      </w:r>
    </w:p>
    <w:p w14:paraId="705E4645">
      <w:pPr>
        <w:keepNext w:val="0"/>
        <w:keepLines w:val="0"/>
        <w:pageBreakBefore w:val="0"/>
        <w:tabs>
          <w:tab w:val="left" w:pos="0"/>
        </w:tabs>
        <w:kinsoku/>
        <w:wordWrap/>
        <w:overflowPunct/>
        <w:topLinePunct w:val="0"/>
        <w:autoSpaceDE/>
        <w:autoSpaceDN/>
        <w:bidi w:val="0"/>
        <w:adjustRightInd/>
        <w:spacing w:line="440" w:lineRule="exact"/>
        <w:ind w:firstLine="480" w:firstLineChars="200"/>
        <w:outlineLvl w:val="1"/>
        <w:rPr>
          <w:rFonts w:ascii="宋体" w:hAnsi="宋体" w:cs="宋体"/>
          <w:color w:val="auto"/>
          <w:sz w:val="24"/>
        </w:rPr>
      </w:pPr>
      <w:r>
        <w:rPr>
          <w:rFonts w:hint="eastAsia" w:ascii="宋体" w:hAnsi="宋体" w:cs="宋体"/>
          <w:color w:val="auto"/>
          <w:sz w:val="24"/>
        </w:rPr>
        <w:t>购入不构成相关硬件不可缺少组成部分的应用软件，单价1000元以上（含1000元）应作为无形资产核算管理。单件500元以上1000元以下，使用期限超过一年，在使用过程中基本保持原有物质形态的低值耐用品参照固定资产管理。</w:t>
      </w:r>
    </w:p>
    <w:p w14:paraId="33EA6D6A">
      <w:pPr>
        <w:keepNext w:val="0"/>
        <w:keepLines w:val="0"/>
        <w:pageBreakBefore w:val="0"/>
        <w:tabs>
          <w:tab w:val="left" w:pos="0"/>
        </w:tabs>
        <w:kinsoku/>
        <w:wordWrap/>
        <w:overflowPunct/>
        <w:topLinePunct w:val="0"/>
        <w:autoSpaceDE/>
        <w:autoSpaceDN/>
        <w:bidi w:val="0"/>
        <w:adjustRightInd/>
        <w:spacing w:line="440" w:lineRule="exact"/>
        <w:ind w:firstLine="480" w:firstLineChars="200"/>
        <w:outlineLvl w:val="1"/>
        <w:rPr>
          <w:rFonts w:ascii="宋体" w:hAnsi="宋体" w:cs="宋体"/>
          <w:color w:val="auto"/>
          <w:sz w:val="24"/>
        </w:rPr>
      </w:pPr>
      <w:r>
        <w:rPr>
          <w:rFonts w:hint="eastAsia" w:ascii="宋体" w:hAnsi="宋体" w:cs="宋体"/>
          <w:color w:val="auto"/>
          <w:sz w:val="24"/>
        </w:rPr>
        <w:t>凡经批准购（建）置的固定资产（含低值耐用品）以及无形资产，报账前须按规定到归口管理部门办理资产或低值耐用品登记及领用手续，并填制固定资产增加单（一式四联），在验收合格后，凭资产验收单、验收报告（如有）、项目合同方可办理报销(属于政府采购项目的需要按政府采购相关要求提供资料)。学院房屋建筑物增减、设备类固定资产、软件、家具、低值易耗品归属总务处资产办管理。</w:t>
      </w:r>
    </w:p>
    <w:p w14:paraId="0F812D3E">
      <w:pPr>
        <w:keepNext w:val="0"/>
        <w:keepLines w:val="0"/>
        <w:pageBreakBefore w:val="0"/>
        <w:tabs>
          <w:tab w:val="left" w:pos="0"/>
        </w:tabs>
        <w:kinsoku/>
        <w:wordWrap/>
        <w:overflowPunct/>
        <w:topLinePunct w:val="0"/>
        <w:autoSpaceDE/>
        <w:autoSpaceDN/>
        <w:bidi w:val="0"/>
        <w:adjustRightInd/>
        <w:spacing w:line="440" w:lineRule="exact"/>
        <w:ind w:firstLine="482" w:firstLineChars="200"/>
        <w:outlineLvl w:val="1"/>
        <w:rPr>
          <w:rFonts w:ascii="宋体" w:hAnsi="宋体" w:cs="宋体"/>
          <w:color w:val="auto"/>
          <w:sz w:val="24"/>
        </w:rPr>
      </w:pPr>
      <w:r>
        <w:rPr>
          <w:rFonts w:hint="eastAsia" w:ascii="宋体" w:hAnsi="宋体" w:cs="宋体"/>
          <w:b/>
          <w:bCs/>
          <w:color w:val="auto"/>
          <w:sz w:val="24"/>
        </w:rPr>
        <w:t xml:space="preserve">第二十八条 </w:t>
      </w:r>
      <w:r>
        <w:rPr>
          <w:rFonts w:hint="eastAsia" w:ascii="宋体" w:hAnsi="宋体" w:cs="宋体"/>
          <w:color w:val="auto"/>
          <w:sz w:val="24"/>
        </w:rPr>
        <w:t xml:space="preserve"> 材料费报销须附有效发票（汇总开票需有由税局指定开票系统开出并加盖供货单位发票专用章的材料清单），明确材料采购单价和数量，报销单由验收人签名确认。各部门应做好材料购买领用和结余登记，加强实物管理。药品、基建材料、维修材料应建立仓库管理制度，做好材料出入库登记，定期盘点并制作材料盘存表，年末应由财务人员参与盘点并将盘存表、盘盈盘亏审批表报送计划财务处留存。</w:t>
      </w:r>
    </w:p>
    <w:p w14:paraId="617BA9FF">
      <w:pPr>
        <w:keepNext w:val="0"/>
        <w:keepLines w:val="0"/>
        <w:pageBreakBefore w:val="0"/>
        <w:tabs>
          <w:tab w:val="left" w:pos="0"/>
        </w:tabs>
        <w:kinsoku/>
        <w:wordWrap/>
        <w:overflowPunct/>
        <w:topLinePunct w:val="0"/>
        <w:autoSpaceDE/>
        <w:autoSpaceDN/>
        <w:bidi w:val="0"/>
        <w:adjustRightInd/>
        <w:spacing w:line="440" w:lineRule="exact"/>
        <w:ind w:firstLine="482" w:firstLineChars="200"/>
        <w:outlineLvl w:val="1"/>
        <w:rPr>
          <w:rFonts w:ascii="宋体" w:hAnsi="宋体" w:cs="宋体"/>
          <w:color w:val="auto"/>
          <w:sz w:val="24"/>
        </w:rPr>
      </w:pPr>
      <w:r>
        <w:rPr>
          <w:rFonts w:hint="eastAsia" w:ascii="宋体" w:hAnsi="宋体" w:cs="宋体"/>
          <w:b/>
          <w:bCs/>
          <w:color w:val="auto"/>
          <w:sz w:val="24"/>
        </w:rPr>
        <w:t>第二十九条</w:t>
      </w:r>
      <w:r>
        <w:rPr>
          <w:rFonts w:hint="eastAsia" w:ascii="宋体" w:hAnsi="宋体" w:cs="宋体"/>
          <w:color w:val="auto"/>
          <w:sz w:val="24"/>
        </w:rPr>
        <w:t xml:space="preserve">  教师的教材用书凭票实报实销，非教材类图书按以下原则处理：以横向纵向科研项目经费单次购置1000元（含1000元）以上的，或者以学院其他经费购置的都必须到图书馆办理固定资产登记方能报销，但以下情况除外：</w:t>
      </w:r>
    </w:p>
    <w:p w14:paraId="14C23791">
      <w:pPr>
        <w:keepNext w:val="0"/>
        <w:keepLines w:val="0"/>
        <w:pageBreakBefore w:val="0"/>
        <w:tabs>
          <w:tab w:val="left" w:pos="0"/>
        </w:tabs>
        <w:kinsoku/>
        <w:wordWrap/>
        <w:overflowPunct/>
        <w:topLinePunct w:val="0"/>
        <w:autoSpaceDE/>
        <w:autoSpaceDN/>
        <w:bidi w:val="0"/>
        <w:adjustRightInd/>
        <w:spacing w:line="440" w:lineRule="exact"/>
        <w:ind w:firstLine="480" w:firstLineChars="200"/>
        <w:outlineLvl w:val="1"/>
        <w:rPr>
          <w:rFonts w:ascii="宋体" w:hAnsi="宋体" w:cs="宋体"/>
          <w:color w:val="auto"/>
          <w:sz w:val="24"/>
        </w:rPr>
      </w:pPr>
      <w:r>
        <w:rPr>
          <w:rFonts w:hint="eastAsia" w:ascii="宋体" w:hAnsi="宋体" w:cs="宋体"/>
          <w:color w:val="auto"/>
          <w:sz w:val="24"/>
        </w:rPr>
        <w:t>各部门集体购买的图书如果是作为学习资料，培训资料或奖品等需要分发到学生或者教职工个人，图书资料无法多次多人使用，单册价格在200元以下的，可以不到图书馆进行固定资产登记，报账时需要提供由部门负责人签名的书面说明及个人领用签收表。</w:t>
      </w:r>
    </w:p>
    <w:p w14:paraId="2477B4BE">
      <w:pPr>
        <w:keepNext w:val="0"/>
        <w:keepLines w:val="0"/>
        <w:pageBreakBefore w:val="0"/>
        <w:tabs>
          <w:tab w:val="left" w:pos="0"/>
        </w:tabs>
        <w:kinsoku/>
        <w:wordWrap/>
        <w:overflowPunct/>
        <w:topLinePunct w:val="0"/>
        <w:autoSpaceDE/>
        <w:autoSpaceDN/>
        <w:bidi w:val="0"/>
        <w:adjustRightInd/>
        <w:spacing w:line="440" w:lineRule="exact"/>
        <w:ind w:firstLine="482" w:firstLineChars="200"/>
        <w:outlineLvl w:val="1"/>
        <w:rPr>
          <w:rFonts w:ascii="宋体" w:hAnsi="宋体" w:cs="宋体"/>
          <w:color w:val="auto"/>
          <w:sz w:val="24"/>
        </w:rPr>
      </w:pPr>
      <w:r>
        <w:rPr>
          <w:rFonts w:hint="eastAsia" w:ascii="宋体" w:hAnsi="宋体" w:cs="宋体"/>
          <w:b/>
          <w:bCs/>
          <w:color w:val="auto"/>
          <w:sz w:val="24"/>
        </w:rPr>
        <w:t>第三十条</w:t>
      </w:r>
      <w:r>
        <w:rPr>
          <w:rFonts w:hint="eastAsia" w:ascii="宋体" w:hAnsi="宋体" w:cs="宋体"/>
          <w:color w:val="auto"/>
          <w:sz w:val="24"/>
        </w:rPr>
        <w:t xml:space="preserve">  使用横向纵向科研经费1000元以上，或使用其他经费200元以上购置电子书的，须自行在采购网站上打印购买清单（一式两份）或取得盖有供应商发票专用章的书目清单，携带采购清单、购书发票一起交由图书馆审核登记，经图书馆确认后计划财务处方给予报销付款。</w:t>
      </w:r>
    </w:p>
    <w:p w14:paraId="0846AFAC">
      <w:pPr>
        <w:pStyle w:val="3"/>
        <w:keepNext w:val="0"/>
        <w:keepLines w:val="0"/>
        <w:pageBreakBefore w:val="0"/>
        <w:widowControl w:val="0"/>
        <w:kinsoku/>
        <w:wordWrap/>
        <w:overflowPunct/>
        <w:topLinePunct w:val="0"/>
        <w:autoSpaceDE/>
        <w:autoSpaceDN/>
        <w:bidi w:val="0"/>
        <w:adjustRightInd/>
        <w:spacing w:before="156" w:beforeLines="50" w:beforeAutospacing="0" w:after="156" w:afterLines="50" w:afterAutospacing="0" w:line="440" w:lineRule="exact"/>
        <w:jc w:val="center"/>
        <w:textAlignment w:val="auto"/>
        <w:outlineLvl w:val="1"/>
        <w:rPr>
          <w:b/>
          <w:bCs/>
          <w:color w:val="auto"/>
        </w:rPr>
      </w:pPr>
      <w:bookmarkStart w:id="21" w:name="_Toc21334"/>
      <w:bookmarkStart w:id="22" w:name="_Toc28175"/>
      <w:r>
        <w:rPr>
          <w:rFonts w:hint="eastAsia"/>
          <w:b/>
          <w:bCs/>
          <w:color w:val="auto"/>
        </w:rPr>
        <w:t>第八章  差旅费支出</w:t>
      </w:r>
      <w:bookmarkEnd w:id="21"/>
      <w:bookmarkEnd w:id="22"/>
    </w:p>
    <w:p w14:paraId="59B2D359">
      <w:pPr>
        <w:keepNext w:val="0"/>
        <w:keepLines w:val="0"/>
        <w:pageBreakBefore w:val="0"/>
        <w:tabs>
          <w:tab w:val="left" w:pos="0"/>
        </w:tabs>
        <w:kinsoku/>
        <w:wordWrap/>
        <w:overflowPunct/>
        <w:topLinePunct w:val="0"/>
        <w:autoSpaceDE/>
        <w:autoSpaceDN/>
        <w:bidi w:val="0"/>
        <w:adjustRightInd/>
        <w:spacing w:line="440" w:lineRule="exact"/>
        <w:ind w:firstLine="482" w:firstLineChars="200"/>
        <w:outlineLvl w:val="1"/>
        <w:rPr>
          <w:rFonts w:ascii="宋体" w:hAnsi="宋体" w:cs="宋体"/>
          <w:color w:val="auto"/>
          <w:sz w:val="24"/>
        </w:rPr>
      </w:pPr>
      <w:r>
        <w:rPr>
          <w:rFonts w:hint="eastAsia" w:ascii="宋体" w:hAnsi="宋体" w:cs="宋体"/>
          <w:b/>
          <w:bCs/>
          <w:color w:val="auto"/>
          <w:sz w:val="24"/>
        </w:rPr>
        <w:t>第三十一条</w:t>
      </w:r>
      <w:r>
        <w:rPr>
          <w:rFonts w:hint="eastAsia" w:ascii="宋体" w:hAnsi="宋体" w:cs="宋体"/>
          <w:color w:val="auto"/>
          <w:sz w:val="24"/>
        </w:rPr>
        <w:t xml:space="preserve"> 学院所有教职员工因公出差都必须按规定履行事前申报手续。差旅费的报销依据学院差旅费管理办法和学院考勤管理暂行办法相关规定执行。</w:t>
      </w:r>
    </w:p>
    <w:p w14:paraId="0C90592A">
      <w:pPr>
        <w:pStyle w:val="3"/>
        <w:keepNext w:val="0"/>
        <w:keepLines w:val="0"/>
        <w:pageBreakBefore w:val="0"/>
        <w:widowControl w:val="0"/>
        <w:kinsoku/>
        <w:wordWrap/>
        <w:overflowPunct/>
        <w:topLinePunct w:val="0"/>
        <w:autoSpaceDE/>
        <w:autoSpaceDN/>
        <w:bidi w:val="0"/>
        <w:adjustRightInd/>
        <w:spacing w:before="156" w:beforeLines="50" w:beforeAutospacing="0" w:after="156" w:afterLines="50" w:afterAutospacing="0" w:line="440" w:lineRule="exact"/>
        <w:jc w:val="center"/>
        <w:textAlignment w:val="auto"/>
        <w:outlineLvl w:val="1"/>
        <w:rPr>
          <w:b/>
          <w:bCs/>
          <w:color w:val="auto"/>
        </w:rPr>
      </w:pPr>
      <w:bookmarkStart w:id="23" w:name="_Toc6026"/>
      <w:bookmarkStart w:id="24" w:name="_Toc31616"/>
      <w:r>
        <w:rPr>
          <w:rFonts w:hint="eastAsia"/>
          <w:b/>
          <w:bCs/>
          <w:color w:val="auto"/>
        </w:rPr>
        <w:t>第九章  接待费支出</w:t>
      </w:r>
      <w:bookmarkEnd w:id="23"/>
      <w:bookmarkEnd w:id="24"/>
    </w:p>
    <w:p w14:paraId="73258F02">
      <w:pPr>
        <w:keepNext w:val="0"/>
        <w:keepLines w:val="0"/>
        <w:pageBreakBefore w:val="0"/>
        <w:widowControl w:val="0"/>
        <w:tabs>
          <w:tab w:val="left" w:pos="0"/>
        </w:tabs>
        <w:kinsoku/>
        <w:wordWrap/>
        <w:overflowPunct/>
        <w:topLinePunct w:val="0"/>
        <w:autoSpaceDE/>
        <w:autoSpaceDN/>
        <w:bidi w:val="0"/>
        <w:adjustRightInd/>
        <w:snapToGrid/>
        <w:spacing w:line="440" w:lineRule="exact"/>
        <w:ind w:firstLine="482" w:firstLineChars="200"/>
        <w:textAlignment w:val="auto"/>
        <w:outlineLvl w:val="1"/>
        <w:rPr>
          <w:rFonts w:ascii="宋体" w:hAnsi="宋体" w:cs="宋体"/>
          <w:color w:val="auto"/>
          <w:sz w:val="24"/>
        </w:rPr>
      </w:pPr>
      <w:r>
        <w:rPr>
          <w:rFonts w:hint="eastAsia" w:ascii="宋体" w:hAnsi="宋体" w:cs="宋体"/>
          <w:b/>
          <w:bCs/>
          <w:color w:val="auto"/>
          <w:sz w:val="24"/>
        </w:rPr>
        <w:t>第三十二条</w:t>
      </w:r>
      <w:r>
        <w:rPr>
          <w:rFonts w:hint="eastAsia" w:ascii="宋体" w:hAnsi="宋体" w:cs="宋体"/>
          <w:color w:val="auto"/>
          <w:sz w:val="24"/>
        </w:rPr>
        <w:t xml:space="preserve"> 学院严格控制公务接待费支出，公务接待支出按学院公务接待管理办法相关规定执行，公务接待原则上安排在校内餐厅用餐。</w:t>
      </w:r>
    </w:p>
    <w:p w14:paraId="614B9407">
      <w:pPr>
        <w:pStyle w:val="3"/>
        <w:keepNext w:val="0"/>
        <w:keepLines w:val="0"/>
        <w:pageBreakBefore w:val="0"/>
        <w:widowControl w:val="0"/>
        <w:kinsoku/>
        <w:wordWrap/>
        <w:overflowPunct/>
        <w:topLinePunct w:val="0"/>
        <w:autoSpaceDE/>
        <w:autoSpaceDN/>
        <w:bidi w:val="0"/>
        <w:adjustRightInd/>
        <w:spacing w:before="156" w:beforeLines="50" w:beforeAutospacing="0" w:after="156" w:afterLines="50" w:afterAutospacing="0" w:line="440" w:lineRule="exact"/>
        <w:jc w:val="center"/>
        <w:textAlignment w:val="auto"/>
        <w:outlineLvl w:val="1"/>
        <w:rPr>
          <w:color w:val="auto"/>
        </w:rPr>
      </w:pPr>
      <w:bookmarkStart w:id="25" w:name="_Toc2866"/>
      <w:bookmarkStart w:id="26" w:name="_Toc11303"/>
      <w:r>
        <w:rPr>
          <w:rFonts w:hint="eastAsia"/>
          <w:b/>
          <w:bCs/>
          <w:color w:val="auto"/>
        </w:rPr>
        <w:t>第十章  其他支出</w:t>
      </w:r>
      <w:bookmarkEnd w:id="25"/>
      <w:bookmarkEnd w:id="26"/>
    </w:p>
    <w:p w14:paraId="73E47B14">
      <w:pPr>
        <w:keepNext w:val="0"/>
        <w:keepLines w:val="0"/>
        <w:pageBreakBefore w:val="0"/>
        <w:tabs>
          <w:tab w:val="left" w:pos="0"/>
        </w:tabs>
        <w:kinsoku/>
        <w:wordWrap/>
        <w:overflowPunct/>
        <w:topLinePunct w:val="0"/>
        <w:autoSpaceDE/>
        <w:autoSpaceDN/>
        <w:bidi w:val="0"/>
        <w:adjustRightInd/>
        <w:spacing w:line="440" w:lineRule="exact"/>
        <w:ind w:firstLine="482" w:firstLineChars="200"/>
        <w:outlineLvl w:val="1"/>
        <w:rPr>
          <w:rFonts w:ascii="宋体" w:hAnsi="宋体" w:cs="宋体"/>
          <w:color w:val="auto"/>
          <w:sz w:val="24"/>
        </w:rPr>
      </w:pPr>
      <w:r>
        <w:rPr>
          <w:rFonts w:hint="eastAsia" w:ascii="宋体" w:hAnsi="宋体" w:cs="宋体"/>
          <w:b/>
          <w:bCs/>
          <w:color w:val="auto"/>
          <w:sz w:val="24"/>
        </w:rPr>
        <w:t>第三十三条</w:t>
      </w:r>
      <w:r>
        <w:rPr>
          <w:rFonts w:hint="eastAsia" w:ascii="宋体" w:hAnsi="宋体" w:cs="宋体"/>
          <w:color w:val="auto"/>
          <w:sz w:val="24"/>
        </w:rPr>
        <w:t xml:space="preserve">  专项经费支出在专项经费使用范围内按照学院专项经费管理办法执行。</w:t>
      </w:r>
    </w:p>
    <w:p w14:paraId="2BB463E9">
      <w:pPr>
        <w:keepNext w:val="0"/>
        <w:keepLines w:val="0"/>
        <w:pageBreakBefore w:val="0"/>
        <w:tabs>
          <w:tab w:val="left" w:pos="0"/>
        </w:tabs>
        <w:kinsoku/>
        <w:wordWrap/>
        <w:overflowPunct/>
        <w:topLinePunct w:val="0"/>
        <w:autoSpaceDE/>
        <w:autoSpaceDN/>
        <w:bidi w:val="0"/>
        <w:adjustRightInd/>
        <w:spacing w:line="440" w:lineRule="exact"/>
        <w:ind w:firstLine="482" w:firstLineChars="200"/>
        <w:outlineLvl w:val="1"/>
        <w:rPr>
          <w:rFonts w:ascii="宋体" w:hAnsi="宋体" w:cs="宋体"/>
          <w:color w:val="auto"/>
          <w:sz w:val="24"/>
        </w:rPr>
      </w:pPr>
      <w:r>
        <w:rPr>
          <w:rFonts w:hint="eastAsia" w:ascii="宋体" w:hAnsi="宋体" w:cs="宋体"/>
          <w:b/>
          <w:bCs/>
          <w:color w:val="auto"/>
          <w:sz w:val="24"/>
        </w:rPr>
        <w:t xml:space="preserve">第三十四条 </w:t>
      </w:r>
      <w:r>
        <w:rPr>
          <w:rFonts w:hint="eastAsia" w:ascii="宋体" w:hAnsi="宋体" w:cs="宋体"/>
          <w:color w:val="auto"/>
          <w:sz w:val="24"/>
        </w:rPr>
        <w:t xml:space="preserve"> 专项经费使用必须符合项目资金下达给部门时的规定，严格执行预算或合同约定，并遵从勤俭节约和实事求是原则，合理开支。</w:t>
      </w:r>
    </w:p>
    <w:p w14:paraId="00DFD8E6">
      <w:pPr>
        <w:keepNext w:val="0"/>
        <w:keepLines w:val="0"/>
        <w:pageBreakBefore w:val="0"/>
        <w:tabs>
          <w:tab w:val="left" w:pos="0"/>
        </w:tabs>
        <w:kinsoku/>
        <w:wordWrap/>
        <w:overflowPunct/>
        <w:topLinePunct w:val="0"/>
        <w:autoSpaceDE/>
        <w:autoSpaceDN/>
        <w:bidi w:val="0"/>
        <w:adjustRightInd/>
        <w:spacing w:line="440" w:lineRule="exact"/>
        <w:ind w:firstLine="482" w:firstLineChars="200"/>
        <w:outlineLvl w:val="1"/>
        <w:rPr>
          <w:rFonts w:ascii="宋体" w:hAnsi="宋体" w:cs="宋体"/>
          <w:color w:val="auto"/>
          <w:sz w:val="24"/>
        </w:rPr>
      </w:pPr>
      <w:r>
        <w:rPr>
          <w:rFonts w:hint="eastAsia" w:ascii="宋体" w:hAnsi="宋体" w:cs="宋体"/>
          <w:b/>
          <w:bCs/>
          <w:color w:val="auto"/>
          <w:sz w:val="24"/>
        </w:rPr>
        <w:t>第三十五条</w:t>
      </w:r>
      <w:r>
        <w:rPr>
          <w:rFonts w:hint="eastAsia" w:ascii="宋体" w:hAnsi="宋体" w:cs="宋体"/>
          <w:color w:val="auto"/>
          <w:sz w:val="24"/>
        </w:rPr>
        <w:t xml:space="preserve">  科研协作费划转必须提供任务书及与协作单位签订的合作协议，合作协议与任务书拨付经费的相关内容、收款人必须一致。 </w:t>
      </w:r>
    </w:p>
    <w:p w14:paraId="30CA983E">
      <w:pPr>
        <w:keepNext w:val="0"/>
        <w:keepLines w:val="0"/>
        <w:pageBreakBefore w:val="0"/>
        <w:tabs>
          <w:tab w:val="left" w:pos="0"/>
        </w:tabs>
        <w:kinsoku/>
        <w:wordWrap/>
        <w:overflowPunct/>
        <w:topLinePunct w:val="0"/>
        <w:autoSpaceDE/>
        <w:autoSpaceDN/>
        <w:bidi w:val="0"/>
        <w:adjustRightInd/>
        <w:spacing w:line="440" w:lineRule="exact"/>
        <w:ind w:firstLine="482" w:firstLineChars="200"/>
        <w:outlineLvl w:val="1"/>
        <w:rPr>
          <w:rFonts w:ascii="宋体" w:hAnsi="宋体" w:cs="宋体"/>
          <w:color w:val="auto"/>
          <w:sz w:val="24"/>
        </w:rPr>
      </w:pPr>
      <w:r>
        <w:rPr>
          <w:rFonts w:hint="eastAsia" w:ascii="宋体" w:hAnsi="宋体" w:cs="宋体"/>
          <w:b/>
          <w:bCs/>
          <w:color w:val="auto"/>
          <w:sz w:val="24"/>
        </w:rPr>
        <w:t>第三十六条</w:t>
      </w:r>
      <w:r>
        <w:rPr>
          <w:rFonts w:hint="eastAsia" w:ascii="宋体" w:hAnsi="宋体" w:cs="宋体"/>
          <w:color w:val="auto"/>
          <w:sz w:val="24"/>
        </w:rPr>
        <w:t xml:space="preserve">  会议、学生军训、学生晚会或招聘会等大型活动的餐费支出，原则上安排在校内餐厅用餐，凭活动审批文件、供餐清单及发票在规定标准内结算报销。</w:t>
      </w:r>
    </w:p>
    <w:p w14:paraId="075201F1">
      <w:pPr>
        <w:keepNext w:val="0"/>
        <w:keepLines w:val="0"/>
        <w:pageBreakBefore w:val="0"/>
        <w:tabs>
          <w:tab w:val="left" w:pos="0"/>
        </w:tabs>
        <w:kinsoku/>
        <w:wordWrap/>
        <w:overflowPunct/>
        <w:topLinePunct w:val="0"/>
        <w:autoSpaceDE/>
        <w:autoSpaceDN/>
        <w:bidi w:val="0"/>
        <w:adjustRightInd/>
        <w:spacing w:line="440" w:lineRule="exact"/>
        <w:ind w:firstLine="482" w:firstLineChars="200"/>
        <w:outlineLvl w:val="1"/>
        <w:rPr>
          <w:rFonts w:ascii="宋体" w:hAnsi="宋体" w:cs="宋体"/>
          <w:color w:val="auto"/>
          <w:sz w:val="24"/>
        </w:rPr>
      </w:pPr>
      <w:r>
        <w:rPr>
          <w:rFonts w:hint="eastAsia" w:ascii="宋体" w:hAnsi="宋体" w:cs="宋体"/>
          <w:b/>
          <w:bCs/>
          <w:color w:val="auto"/>
          <w:sz w:val="24"/>
        </w:rPr>
        <w:t>第三十七条</w:t>
      </w:r>
      <w:r>
        <w:rPr>
          <w:rFonts w:hint="eastAsia" w:ascii="宋体" w:hAnsi="宋体" w:cs="宋体"/>
          <w:color w:val="auto"/>
          <w:sz w:val="24"/>
        </w:rPr>
        <w:t xml:space="preserve">  机动费开支。学院机动费是用于无预算或超预算的必要开支。机动费由院长掌握，确需使用时由职能部门报分管院领导拟办意见，再报送院长审批；10万元以上的业务按程序报院长办公会审议、党委会审议后，依据会议纪要审批。</w:t>
      </w:r>
    </w:p>
    <w:p w14:paraId="5728E650">
      <w:pPr>
        <w:pStyle w:val="3"/>
        <w:keepNext w:val="0"/>
        <w:keepLines w:val="0"/>
        <w:pageBreakBefore w:val="0"/>
        <w:widowControl w:val="0"/>
        <w:kinsoku/>
        <w:wordWrap/>
        <w:overflowPunct/>
        <w:topLinePunct w:val="0"/>
        <w:autoSpaceDE/>
        <w:autoSpaceDN/>
        <w:bidi w:val="0"/>
        <w:adjustRightInd/>
        <w:spacing w:before="156" w:beforeLines="50" w:beforeAutospacing="0" w:after="156" w:afterLines="50" w:afterAutospacing="0" w:line="440" w:lineRule="exact"/>
        <w:jc w:val="center"/>
        <w:textAlignment w:val="auto"/>
        <w:outlineLvl w:val="1"/>
        <w:rPr>
          <w:b/>
          <w:bCs/>
          <w:color w:val="auto"/>
        </w:rPr>
      </w:pPr>
      <w:bookmarkStart w:id="27" w:name="_Toc4944"/>
      <w:bookmarkStart w:id="28" w:name="_Toc8063"/>
      <w:r>
        <w:rPr>
          <w:rFonts w:hint="eastAsia"/>
          <w:b/>
          <w:bCs/>
          <w:color w:val="auto"/>
        </w:rPr>
        <w:t>第十一章  检查和监督</w:t>
      </w:r>
      <w:bookmarkEnd w:id="27"/>
      <w:bookmarkEnd w:id="28"/>
    </w:p>
    <w:p w14:paraId="5ADCCB94">
      <w:pPr>
        <w:keepNext w:val="0"/>
        <w:keepLines w:val="0"/>
        <w:pageBreakBefore w:val="0"/>
        <w:tabs>
          <w:tab w:val="left" w:pos="0"/>
        </w:tabs>
        <w:kinsoku/>
        <w:wordWrap/>
        <w:overflowPunct/>
        <w:topLinePunct w:val="0"/>
        <w:autoSpaceDE/>
        <w:autoSpaceDN/>
        <w:bidi w:val="0"/>
        <w:adjustRightInd/>
        <w:spacing w:line="440" w:lineRule="exact"/>
        <w:ind w:firstLine="482" w:firstLineChars="200"/>
        <w:outlineLvl w:val="1"/>
        <w:rPr>
          <w:rFonts w:ascii="宋体" w:hAnsi="宋体" w:cs="宋体"/>
          <w:color w:val="auto"/>
          <w:sz w:val="24"/>
        </w:rPr>
      </w:pPr>
      <w:r>
        <w:rPr>
          <w:rFonts w:hint="eastAsia" w:ascii="宋体" w:hAnsi="宋体" w:cs="宋体"/>
          <w:b/>
          <w:bCs/>
          <w:color w:val="auto"/>
          <w:sz w:val="24"/>
        </w:rPr>
        <w:t>第三十八条</w:t>
      </w:r>
      <w:r>
        <w:rPr>
          <w:rFonts w:hint="eastAsia" w:ascii="宋体" w:hAnsi="宋体" w:cs="宋体"/>
          <w:color w:val="auto"/>
          <w:sz w:val="24"/>
        </w:rPr>
        <w:t xml:space="preserve">  经费使用人和项目负责人、部门负责人是学院支付业务的直接责任人，对经费开支的真实性、合理性、合规性、相关性和效益性全权负责并承担法律责任。计划财务处按照经费预算及财经规定审核支出的合规性和报账手续的完整性，并对支出业务的真实性、合理性和相关性予以监督。 </w:t>
      </w:r>
    </w:p>
    <w:p w14:paraId="3BB09BC8">
      <w:pPr>
        <w:keepNext w:val="0"/>
        <w:keepLines w:val="0"/>
        <w:pageBreakBefore w:val="0"/>
        <w:tabs>
          <w:tab w:val="left" w:pos="0"/>
        </w:tabs>
        <w:kinsoku/>
        <w:wordWrap/>
        <w:overflowPunct/>
        <w:topLinePunct w:val="0"/>
        <w:autoSpaceDE/>
        <w:autoSpaceDN/>
        <w:bidi w:val="0"/>
        <w:adjustRightInd/>
        <w:spacing w:line="440" w:lineRule="exact"/>
        <w:ind w:firstLine="482" w:firstLineChars="200"/>
        <w:outlineLvl w:val="1"/>
        <w:rPr>
          <w:rFonts w:ascii="宋体" w:hAnsi="宋体" w:cs="宋体"/>
          <w:color w:val="auto"/>
          <w:sz w:val="24"/>
        </w:rPr>
      </w:pPr>
      <w:r>
        <w:rPr>
          <w:rFonts w:hint="eastAsia" w:ascii="宋体" w:hAnsi="宋体" w:cs="宋体"/>
          <w:b/>
          <w:bCs/>
          <w:color w:val="auto"/>
          <w:sz w:val="24"/>
        </w:rPr>
        <w:t xml:space="preserve">第三十九条 </w:t>
      </w:r>
      <w:r>
        <w:rPr>
          <w:rFonts w:hint="eastAsia" w:ascii="宋体" w:hAnsi="宋体" w:cs="宋体"/>
          <w:color w:val="auto"/>
          <w:sz w:val="24"/>
        </w:rPr>
        <w:t xml:space="preserve"> 审计室根据审计职责、年度审计计划及学院的安排对学院及部门财务收支情况进行审计监督，对发现问题要求限时整改，对拒不整改及涉嫌违法违纪的移交学院纪检办查处。</w:t>
      </w:r>
    </w:p>
    <w:p w14:paraId="217B77FD">
      <w:pPr>
        <w:pStyle w:val="3"/>
        <w:keepNext w:val="0"/>
        <w:keepLines w:val="0"/>
        <w:pageBreakBefore w:val="0"/>
        <w:widowControl w:val="0"/>
        <w:kinsoku/>
        <w:wordWrap/>
        <w:overflowPunct/>
        <w:topLinePunct w:val="0"/>
        <w:autoSpaceDE/>
        <w:autoSpaceDN/>
        <w:bidi w:val="0"/>
        <w:adjustRightInd/>
        <w:spacing w:before="156" w:beforeLines="50" w:beforeAutospacing="0" w:after="156" w:afterLines="50" w:afterAutospacing="0" w:line="440" w:lineRule="exact"/>
        <w:jc w:val="center"/>
        <w:textAlignment w:val="auto"/>
        <w:outlineLvl w:val="1"/>
        <w:rPr>
          <w:b/>
          <w:bCs/>
          <w:color w:val="auto"/>
        </w:rPr>
      </w:pPr>
      <w:bookmarkStart w:id="29" w:name="_Toc5661"/>
      <w:bookmarkStart w:id="30" w:name="_Toc21700"/>
      <w:r>
        <w:rPr>
          <w:rFonts w:hint="eastAsia"/>
          <w:b/>
          <w:bCs/>
          <w:color w:val="auto"/>
        </w:rPr>
        <w:t>第十二章  附 则</w:t>
      </w:r>
      <w:bookmarkEnd w:id="29"/>
      <w:bookmarkEnd w:id="30"/>
    </w:p>
    <w:p w14:paraId="16944EF6">
      <w:pPr>
        <w:keepNext w:val="0"/>
        <w:keepLines w:val="0"/>
        <w:pageBreakBefore w:val="0"/>
        <w:tabs>
          <w:tab w:val="left" w:pos="0"/>
        </w:tabs>
        <w:kinsoku/>
        <w:wordWrap/>
        <w:overflowPunct/>
        <w:topLinePunct w:val="0"/>
        <w:autoSpaceDE/>
        <w:autoSpaceDN/>
        <w:bidi w:val="0"/>
        <w:adjustRightInd/>
        <w:spacing w:line="440" w:lineRule="exact"/>
        <w:ind w:firstLine="482" w:firstLineChars="200"/>
        <w:outlineLvl w:val="1"/>
        <w:rPr>
          <w:rFonts w:ascii="宋体" w:hAnsi="宋体" w:cs="宋体"/>
          <w:color w:val="auto"/>
          <w:sz w:val="24"/>
        </w:rPr>
      </w:pPr>
      <w:r>
        <w:rPr>
          <w:rFonts w:hint="eastAsia" w:ascii="宋体" w:hAnsi="宋体" w:cs="宋体"/>
          <w:b/>
          <w:bCs/>
          <w:color w:val="auto"/>
          <w:sz w:val="24"/>
        </w:rPr>
        <w:t xml:space="preserve">第四十条 </w:t>
      </w:r>
      <w:r>
        <w:rPr>
          <w:rFonts w:hint="eastAsia" w:ascii="宋体" w:hAnsi="宋体" w:cs="宋体"/>
          <w:color w:val="auto"/>
          <w:sz w:val="24"/>
        </w:rPr>
        <w:t xml:space="preserve"> 本办法所称“以上”包含本数，“以下”不含本数。</w:t>
      </w:r>
    </w:p>
    <w:p w14:paraId="0027DC67">
      <w:pPr>
        <w:keepNext w:val="0"/>
        <w:keepLines w:val="0"/>
        <w:pageBreakBefore w:val="0"/>
        <w:tabs>
          <w:tab w:val="left" w:pos="0"/>
        </w:tabs>
        <w:kinsoku/>
        <w:wordWrap/>
        <w:overflowPunct/>
        <w:topLinePunct w:val="0"/>
        <w:autoSpaceDE/>
        <w:autoSpaceDN/>
        <w:bidi w:val="0"/>
        <w:adjustRightInd/>
        <w:spacing w:line="440" w:lineRule="exact"/>
        <w:ind w:firstLine="482" w:firstLineChars="200"/>
        <w:outlineLvl w:val="1"/>
        <w:rPr>
          <w:rFonts w:hint="eastAsia" w:ascii="宋体" w:hAnsi="宋体" w:cs="宋体"/>
          <w:color w:val="auto"/>
          <w:sz w:val="24"/>
        </w:rPr>
      </w:pPr>
      <w:r>
        <w:rPr>
          <w:rFonts w:hint="eastAsia" w:ascii="宋体" w:hAnsi="宋体" w:cs="宋体"/>
          <w:b/>
          <w:bCs/>
          <w:color w:val="auto"/>
          <w:sz w:val="24"/>
        </w:rPr>
        <w:t>第四十一条</w:t>
      </w:r>
      <w:r>
        <w:rPr>
          <w:rFonts w:hint="eastAsia" w:ascii="宋体" w:hAnsi="宋体" w:cs="宋体"/>
          <w:color w:val="auto"/>
          <w:sz w:val="24"/>
        </w:rPr>
        <w:t xml:space="preserve">  本办法由计划财务处负责解释。</w:t>
      </w:r>
    </w:p>
    <w:p w14:paraId="0B758D97">
      <w:r>
        <w:rPr>
          <w:rFonts w:hint="eastAsia" w:ascii="宋体" w:hAnsi="宋体" w:cs="宋体"/>
          <w:b/>
          <w:bCs/>
          <w:color w:val="auto"/>
          <w:sz w:val="24"/>
        </w:rPr>
        <w:t>第四十二条</w:t>
      </w:r>
      <w:r>
        <w:rPr>
          <w:rFonts w:hint="eastAsia" w:ascii="宋体" w:hAnsi="宋体" w:cs="宋体"/>
          <w:color w:val="auto"/>
          <w:sz w:val="24"/>
        </w:rPr>
        <w:t xml:space="preserve">  本办法自公布之日起施行，之前执行的《汕头职业技术学院经费开支管理办法（试行）》（汕职院发〔2019〕7号）同时废止，与此文件相冲突的其他规定，以此文件规定为准。</w:t>
      </w:r>
      <w:bookmarkStart w:id="31" w:name="_GoBack"/>
      <w:bookmarkEnd w:id="3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文鼎小标宋简">
    <w:altName w:val="宋体"/>
    <w:panose1 w:val="00000000000000000000"/>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EwNTE3YTE2OTllOTExYzMwNWVhMTVmZGIyNGFlM2YifQ=="/>
  </w:docVars>
  <w:rsids>
    <w:rsidRoot w:val="2C713FB0"/>
    <w:rsid w:val="2C713F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line="561" w:lineRule="exact"/>
      <w:ind w:left="1181"/>
      <w:outlineLvl w:val="0"/>
    </w:pPr>
    <w:rPr>
      <w:rFonts w:ascii="宋体" w:hAnsi="宋体" w:eastAsia="宋体" w:cs="宋体"/>
      <w:b/>
      <w:bCs/>
      <w:sz w:val="28"/>
      <w:szCs w:val="44"/>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widowControl/>
      <w:spacing w:before="100" w:beforeAutospacing="1" w:after="100" w:afterAutospacing="1"/>
      <w:jc w:val="left"/>
    </w:pPr>
    <w:rPr>
      <w:rFonts w:ascii="宋体" w:hAnsi="宋体"/>
      <w:kern w:val="0"/>
      <w:sz w:val="24"/>
      <w:szCs w:val="20"/>
    </w:rPr>
  </w:style>
  <w:style w:type="paragraph" w:customStyle="1" w:styleId="6">
    <w:name w:val="样式1"/>
    <w:basedOn w:val="1"/>
    <w:qFormat/>
    <w:uiPriority w:val="99"/>
    <w:pPr>
      <w:snapToGrid w:val="0"/>
      <w:spacing w:line="640" w:lineRule="exact"/>
      <w:jc w:val="center"/>
    </w:pPr>
    <w:rPr>
      <w:rFonts w:eastAsia="文鼎小标宋简" w:cs="宋体" w:hAnsiTheme="minorHAnsi"/>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0</TotalTime>
  <ScaleCrop>false</ScaleCrop>
  <LinksUpToDate>false</LinksUpToDate>
  <CharactersWithSpaces>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2024-09-01T15:54:00Z</dcterms:created>
  <dc:creator>WPS_1713152101</dc:creator>
  <cp:lastModifiedBy>WPS_1713152101</cp:lastModifiedBy>
  <dcterms:modified xsi:type="dcterms:W3CDTF">2024-09-01T15:54:43Z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D42BE79C8C484B3C991FCC63D7C82B78_11</vt:lpwstr>
  </property>
</Properties>
</file>