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F2" w:rsidRDefault="00BA7CF2" w:rsidP="00BA7CF2">
      <w:pPr>
        <w:spacing w:beforeLines="50" w:before="156" w:afterLines="50" w:after="156" w:line="440" w:lineRule="exact"/>
        <w:jc w:val="center"/>
        <w:rPr>
          <w:rFonts w:ascii="宋体" w:hAnsi="宋体" w:cs="宋体"/>
          <w:b/>
          <w:bCs/>
          <w:kern w:val="0"/>
          <w:sz w:val="28"/>
          <w:szCs w:val="28"/>
        </w:rPr>
      </w:pPr>
      <w:r>
        <w:rPr>
          <w:rFonts w:ascii="宋体" w:hAnsi="宋体" w:cs="宋体" w:hint="eastAsia"/>
          <w:b/>
          <w:bCs/>
          <w:kern w:val="0"/>
          <w:sz w:val="28"/>
          <w:szCs w:val="28"/>
        </w:rPr>
        <w:t>汕头职业技术学院学术活动管理办法</w:t>
      </w:r>
    </w:p>
    <w:p w:rsidR="00BA7CF2" w:rsidRDefault="00BA7CF2" w:rsidP="00BA7CF2">
      <w:pPr>
        <w:spacing w:beforeLines="50" w:before="156" w:line="440" w:lineRule="exact"/>
        <w:jc w:val="center"/>
        <w:rPr>
          <w:rFonts w:ascii="宋体" w:hAnsi="宋体" w:cs="宋体"/>
          <w:kern w:val="0"/>
          <w:sz w:val="28"/>
          <w:szCs w:val="28"/>
        </w:rPr>
      </w:pPr>
      <w:r>
        <w:rPr>
          <w:rFonts w:ascii="宋体" w:hAnsi="宋体" w:cs="宋体" w:hint="eastAsia"/>
          <w:kern w:val="0"/>
          <w:sz w:val="28"/>
          <w:szCs w:val="28"/>
        </w:rPr>
        <w:t>（</w:t>
      </w:r>
      <w:proofErr w:type="gramStart"/>
      <w:r>
        <w:rPr>
          <w:rFonts w:ascii="宋体" w:hAnsi="宋体" w:cs="宋体" w:hint="eastAsia"/>
          <w:kern w:val="0"/>
          <w:sz w:val="28"/>
          <w:szCs w:val="28"/>
        </w:rPr>
        <w:t>汕</w:t>
      </w:r>
      <w:proofErr w:type="gramEnd"/>
      <w:r>
        <w:rPr>
          <w:rFonts w:ascii="宋体" w:hAnsi="宋体" w:cs="宋体" w:hint="eastAsia"/>
          <w:kern w:val="0"/>
          <w:sz w:val="28"/>
          <w:szCs w:val="28"/>
        </w:rPr>
        <w:t>职院发〔2017〕60号）</w:t>
      </w:r>
    </w:p>
    <w:p w:rsidR="00BA7CF2" w:rsidRDefault="00BA7CF2" w:rsidP="00BA7CF2">
      <w:pPr>
        <w:widowControl/>
        <w:spacing w:beforeLines="50" w:before="156" w:line="440" w:lineRule="exact"/>
        <w:ind w:firstLineChars="200" w:firstLine="480"/>
        <w:rPr>
          <w:rFonts w:ascii="宋体" w:hAnsi="宋体" w:cs="宋体"/>
          <w:kern w:val="0"/>
          <w:sz w:val="24"/>
        </w:rPr>
      </w:pPr>
      <w:r>
        <w:rPr>
          <w:rFonts w:ascii="宋体" w:hAnsi="宋体" w:cs="宋体" w:hint="eastAsia"/>
          <w:kern w:val="0"/>
          <w:sz w:val="24"/>
        </w:rPr>
        <w:t>为活跃学院学术氛围，规范学术活动管理，提高学术活动的质量和效益,根据有关规定，并结合学院实际制订本规定：</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第一条</w:t>
      </w:r>
      <w:r>
        <w:rPr>
          <w:rFonts w:ascii="宋体" w:hAnsi="宋体" w:cs="宋体" w:hint="eastAsia"/>
          <w:kern w:val="0"/>
          <w:sz w:val="24"/>
        </w:rPr>
        <w:t xml:space="preserve"> 学术活动管理的职能部门为科研设备处。系部（处、室、中心、馆等，下同）是学术活动的基层单位。学院的学术活动采用分层次组织方式，在科研设备处统一管理下分层次协作开展。</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第二条</w:t>
      </w:r>
      <w:r>
        <w:rPr>
          <w:rFonts w:ascii="宋体" w:hAnsi="宋体" w:cs="宋体" w:hint="eastAsia"/>
          <w:kern w:val="0"/>
          <w:sz w:val="24"/>
        </w:rPr>
        <w:t xml:space="preserve"> 学术活动管理的主要内容是：校内外各类学术报告、学术交流活动管理（</w:t>
      </w:r>
      <w:proofErr w:type="gramStart"/>
      <w:r>
        <w:rPr>
          <w:rFonts w:ascii="宋体" w:hAnsi="宋体" w:cs="宋体" w:hint="eastAsia"/>
          <w:kern w:val="0"/>
          <w:sz w:val="24"/>
        </w:rPr>
        <w:t>含学术</w:t>
      </w:r>
      <w:proofErr w:type="gramEnd"/>
      <w:r>
        <w:rPr>
          <w:rFonts w:ascii="宋体" w:hAnsi="宋体" w:cs="宋体" w:hint="eastAsia"/>
          <w:kern w:val="0"/>
          <w:sz w:val="24"/>
        </w:rPr>
        <w:t>报告、讲座、交流活动的计划审核，资料归档，经费使用等）；学院学术团体（含学院各类学术学会、协会）和各类学术研究机构的管理。</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第三条</w:t>
      </w:r>
      <w:r>
        <w:rPr>
          <w:rFonts w:ascii="宋体" w:hAnsi="宋体" w:cs="宋体" w:hint="eastAsia"/>
          <w:kern w:val="0"/>
          <w:sz w:val="24"/>
        </w:rPr>
        <w:t xml:space="preserve"> 学术活动经费列入学院年度预算，其开支原则在于资助学术活动，促进学院学术水平的提高，严禁非学术活动使用该项经费。</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第四条</w:t>
      </w:r>
      <w:r>
        <w:rPr>
          <w:rFonts w:ascii="宋体" w:hAnsi="宋体" w:cs="宋体" w:hint="eastAsia"/>
          <w:kern w:val="0"/>
          <w:sz w:val="24"/>
        </w:rPr>
        <w:t xml:space="preserve"> 凡校内各学系主办的学术讲座，由科研设备处统一宏观管理，各系部具体组织实施。各系部于每学期初提出申报计划</w:t>
      </w:r>
      <w:proofErr w:type="gramStart"/>
      <w:r>
        <w:rPr>
          <w:rFonts w:ascii="宋体" w:hAnsi="宋体" w:cs="宋体" w:hint="eastAsia"/>
          <w:kern w:val="0"/>
          <w:sz w:val="24"/>
        </w:rPr>
        <w:t>报科研</w:t>
      </w:r>
      <w:proofErr w:type="gramEnd"/>
      <w:r>
        <w:rPr>
          <w:rFonts w:ascii="宋体" w:hAnsi="宋体" w:cs="宋体" w:hint="eastAsia"/>
          <w:kern w:val="0"/>
          <w:sz w:val="24"/>
        </w:rPr>
        <w:t>设备处汇总（行政部门教师申报学术讲座归口兼课所</w:t>
      </w:r>
      <w:proofErr w:type="gramStart"/>
      <w:r>
        <w:rPr>
          <w:rFonts w:ascii="宋体" w:hAnsi="宋体" w:cs="宋体" w:hint="eastAsia"/>
          <w:kern w:val="0"/>
          <w:sz w:val="24"/>
        </w:rPr>
        <w:t>在学系</w:t>
      </w:r>
      <w:proofErr w:type="gramEnd"/>
      <w:r>
        <w:rPr>
          <w:rFonts w:ascii="宋体" w:hAnsi="宋体" w:cs="宋体" w:hint="eastAsia"/>
          <w:kern w:val="0"/>
          <w:sz w:val="24"/>
        </w:rPr>
        <w:t>申报），科研设备处按照程序上报相关部门和领导审批，审批完成后科研设备处以通知形式公布每学期学术讲座安排，各系部负责学术讲座的时间和地点安排以及相关的组织工作，科研设备处对全院学术讲座的时间、地点作协调，学期结束后科研设备处核实学术讲座开设的情况后按有关规定支付酬金。</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第五条</w:t>
      </w:r>
      <w:r>
        <w:rPr>
          <w:rFonts w:ascii="宋体" w:hAnsi="宋体" w:cs="宋体" w:hint="eastAsia"/>
          <w:kern w:val="0"/>
          <w:sz w:val="24"/>
        </w:rPr>
        <w:t xml:space="preserve"> 面向全院的学术报告会由科研设备处负责主办和组织实施，外请学者、专家的接待由科研设备处负责。</w:t>
      </w:r>
      <w:proofErr w:type="gramStart"/>
      <w:r>
        <w:rPr>
          <w:rFonts w:ascii="宋体" w:hAnsi="宋体" w:cs="宋体" w:hint="eastAsia"/>
          <w:kern w:val="0"/>
          <w:sz w:val="24"/>
        </w:rPr>
        <w:t>面向系部的</w:t>
      </w:r>
      <w:proofErr w:type="gramEnd"/>
      <w:r>
        <w:rPr>
          <w:rFonts w:ascii="宋体" w:hAnsi="宋体" w:cs="宋体" w:hint="eastAsia"/>
          <w:kern w:val="0"/>
          <w:sz w:val="24"/>
        </w:rPr>
        <w:t>学术报告会</w:t>
      </w:r>
      <w:proofErr w:type="gramStart"/>
      <w:r>
        <w:rPr>
          <w:rFonts w:ascii="宋体" w:hAnsi="宋体" w:cs="宋体" w:hint="eastAsia"/>
          <w:kern w:val="0"/>
          <w:sz w:val="24"/>
        </w:rPr>
        <w:t>由系部负责</w:t>
      </w:r>
      <w:proofErr w:type="gramEnd"/>
      <w:r>
        <w:rPr>
          <w:rFonts w:ascii="宋体" w:hAnsi="宋体" w:cs="宋体" w:hint="eastAsia"/>
          <w:kern w:val="0"/>
          <w:sz w:val="24"/>
        </w:rPr>
        <w:t>组织并接待，科研设备处派人参与。</w:t>
      </w:r>
    </w:p>
    <w:p w:rsidR="00BA7CF2" w:rsidRDefault="00BA7CF2" w:rsidP="00BA7CF2">
      <w:pPr>
        <w:spacing w:line="440" w:lineRule="exact"/>
        <w:ind w:firstLineChars="200" w:firstLine="482"/>
        <w:jc w:val="left"/>
        <w:rPr>
          <w:rFonts w:ascii="宋体" w:hAnsi="宋体" w:cs="宋体"/>
          <w:kern w:val="0"/>
          <w:sz w:val="24"/>
        </w:rPr>
      </w:pPr>
      <w:r>
        <w:rPr>
          <w:rFonts w:ascii="宋体" w:hAnsi="宋体" w:cs="宋体" w:hint="eastAsia"/>
          <w:b/>
          <w:kern w:val="0"/>
          <w:sz w:val="24"/>
        </w:rPr>
        <w:t>第六条</w:t>
      </w:r>
      <w:r>
        <w:rPr>
          <w:rFonts w:ascii="宋体" w:hAnsi="宋体" w:cs="宋体" w:hint="eastAsia"/>
          <w:kern w:val="0"/>
          <w:sz w:val="24"/>
        </w:rPr>
        <w:t xml:space="preserve"> 坚持“谁主办谁负责”的原则，各系部党总支负责对本部门申报的学术讲座进行质量反馈和政治安全监管，面向全院的学术报告会由科研设备处负责学术讲座的质量反馈和政治安全监管。质量反馈工作由督导人员现场发放《汕头职业技术学院学术讲座满意度调查表》进行调查，并汇总分析成《学术讲座满意度调查统计表》。政治安全监管工作由现场督导人员按照党和国家相关文件精神，现场监察学术讲座的政治安全情况，并在学术讲座结束后在《汕头职业技术学院学术讲座审批表》中填写政治安全审查情况。各系（部）党总支负责的质量反馈和政治安全审查等相关表格在学期结束后上交科研设备处存</w:t>
      </w:r>
      <w:r>
        <w:rPr>
          <w:rFonts w:ascii="宋体" w:hAnsi="宋体" w:cs="宋体" w:hint="eastAsia"/>
          <w:kern w:val="0"/>
          <w:sz w:val="24"/>
        </w:rPr>
        <w:lastRenderedPageBreak/>
        <w:t>档。</w:t>
      </w:r>
    </w:p>
    <w:p w:rsidR="00BA7CF2" w:rsidRDefault="00BA7CF2" w:rsidP="00BA7CF2">
      <w:pPr>
        <w:spacing w:line="440" w:lineRule="exact"/>
        <w:ind w:firstLineChars="200" w:firstLine="482"/>
        <w:jc w:val="left"/>
        <w:rPr>
          <w:rFonts w:ascii="宋体" w:hAnsi="宋体" w:cs="宋体"/>
          <w:kern w:val="0"/>
          <w:sz w:val="24"/>
        </w:rPr>
      </w:pPr>
      <w:r>
        <w:rPr>
          <w:rFonts w:ascii="宋体" w:hAnsi="宋体" w:cs="宋体" w:hint="eastAsia"/>
          <w:b/>
          <w:kern w:val="0"/>
          <w:sz w:val="24"/>
        </w:rPr>
        <w:t>第七条</w:t>
      </w:r>
      <w:r>
        <w:rPr>
          <w:rFonts w:ascii="宋体" w:hAnsi="宋体" w:cs="宋体" w:hint="eastAsia"/>
          <w:kern w:val="0"/>
          <w:sz w:val="24"/>
        </w:rPr>
        <w:t xml:space="preserve"> 在申报、审核、审批、实施、</w:t>
      </w:r>
      <w:proofErr w:type="gramStart"/>
      <w:r>
        <w:rPr>
          <w:rFonts w:ascii="宋体" w:hAnsi="宋体" w:cs="宋体" w:hint="eastAsia"/>
          <w:kern w:val="0"/>
          <w:sz w:val="24"/>
        </w:rPr>
        <w:t>反馈全</w:t>
      </w:r>
      <w:proofErr w:type="gramEnd"/>
      <w:r>
        <w:rPr>
          <w:rFonts w:ascii="宋体" w:hAnsi="宋体" w:cs="宋体" w:hint="eastAsia"/>
          <w:kern w:val="0"/>
          <w:sz w:val="24"/>
        </w:rPr>
        <w:t>过程加强学术报告会和学术讲座的政治安全监管工作。在申报阶段，要求各系（部）在学期初两周内由主讲老师（或外聘专家联系人）向所在部门（主办单位）申报，所在部门进行初步审核。在审核阶段，重点在于预防和及时发现政治安全隐患。各系部必须对报告人的有关情况、思想政治倾向及报告会和讲座的主要内容进行了解，属于举办哲学社会科学报告会或讲座的外聘专家必须征求其所在单位党组织意见，发现主讲人有不正确思想政治倾向问题或报告、讲座内容有政治性错误观点的不能举办。初审同意后再向科研设备处申报，科研设备处会同党委宣传部进行主题审核，同意后报学院分管领导审批。</w:t>
      </w:r>
    </w:p>
    <w:p w:rsidR="00BA7CF2" w:rsidRDefault="00BA7CF2" w:rsidP="00BA7CF2">
      <w:pPr>
        <w:spacing w:line="440" w:lineRule="exact"/>
        <w:ind w:firstLineChars="200" w:firstLine="482"/>
        <w:jc w:val="left"/>
        <w:rPr>
          <w:rFonts w:ascii="宋体" w:hAnsi="宋体" w:cs="宋体"/>
          <w:kern w:val="0"/>
          <w:sz w:val="24"/>
        </w:rPr>
      </w:pPr>
      <w:r>
        <w:rPr>
          <w:rFonts w:ascii="宋体" w:hAnsi="宋体" w:cs="宋体" w:hint="eastAsia"/>
          <w:b/>
          <w:kern w:val="0"/>
          <w:sz w:val="24"/>
        </w:rPr>
        <w:t>第八条</w:t>
      </w:r>
      <w:r>
        <w:rPr>
          <w:rFonts w:ascii="宋体" w:hAnsi="宋体" w:cs="宋体" w:hint="eastAsia"/>
          <w:kern w:val="0"/>
          <w:sz w:val="24"/>
        </w:rPr>
        <w:t xml:space="preserve"> 科研设备处按经审批的讲座编印讲座通知，各系（部）按通知开办学术讲座。在实施阶段，哲学社会科学报告会或讲座，开讲前两周主讲人必须将讲稿（或PPT）发至科研设备处审查；审查通过后才能举办，讲座开讲过程中各系（部）党总支或者科研设备处安排专人到场进行政治安全监管，如发现主讲人的报告内容有不正确的政治观点，当场制止，及时消除影响。学术讲座或学术报告会结束后，政治安全监管人员填写讲座开设政治安全监管情况记录，为改进讲座活动提供借鉴。</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kern w:val="0"/>
          <w:sz w:val="24"/>
        </w:rPr>
        <w:t>第九条</w:t>
      </w:r>
      <w:r>
        <w:rPr>
          <w:rFonts w:ascii="宋体" w:hAnsi="宋体" w:cs="宋体" w:hint="eastAsia"/>
          <w:kern w:val="0"/>
          <w:sz w:val="24"/>
        </w:rPr>
        <w:t xml:space="preserve"> 学术报告的讲学酬金标准为：</w:t>
      </w: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65"/>
        <w:gridCol w:w="1802"/>
      </w:tblGrid>
      <w:tr w:rsidR="00BA7CF2" w:rsidTr="00C94780">
        <w:trPr>
          <w:jc w:val="center"/>
        </w:trPr>
        <w:tc>
          <w:tcPr>
            <w:tcW w:w="908" w:type="dxa"/>
          </w:tcPr>
          <w:p w:rsidR="00BA7CF2" w:rsidRDefault="00BA7CF2" w:rsidP="00C94780">
            <w:pPr>
              <w:widowControl/>
              <w:spacing w:line="440" w:lineRule="exact"/>
              <w:rPr>
                <w:rFonts w:ascii="宋体" w:hAnsi="宋体" w:cs="宋体"/>
                <w:b/>
                <w:kern w:val="0"/>
                <w:sz w:val="24"/>
              </w:rPr>
            </w:pPr>
            <w:r>
              <w:rPr>
                <w:rFonts w:ascii="宋体" w:hAnsi="宋体" w:cs="宋体" w:hint="eastAsia"/>
                <w:b/>
                <w:kern w:val="0"/>
                <w:sz w:val="24"/>
              </w:rPr>
              <w:t>来源</w:t>
            </w:r>
          </w:p>
        </w:tc>
        <w:tc>
          <w:tcPr>
            <w:tcW w:w="4765" w:type="dxa"/>
          </w:tcPr>
          <w:p w:rsidR="00BA7CF2" w:rsidRDefault="00BA7CF2" w:rsidP="00C94780">
            <w:pPr>
              <w:widowControl/>
              <w:spacing w:line="440" w:lineRule="exact"/>
              <w:jc w:val="center"/>
              <w:rPr>
                <w:rFonts w:ascii="宋体" w:hAnsi="宋体" w:cs="宋体"/>
                <w:b/>
                <w:kern w:val="0"/>
                <w:sz w:val="24"/>
              </w:rPr>
            </w:pPr>
            <w:r>
              <w:rPr>
                <w:rFonts w:ascii="宋体" w:hAnsi="宋体" w:cs="宋体" w:hint="eastAsia"/>
                <w:b/>
                <w:kern w:val="0"/>
                <w:sz w:val="24"/>
              </w:rPr>
              <w:t>主讲人员职称</w:t>
            </w:r>
          </w:p>
        </w:tc>
        <w:tc>
          <w:tcPr>
            <w:tcW w:w="1802" w:type="dxa"/>
          </w:tcPr>
          <w:p w:rsidR="00BA7CF2" w:rsidRDefault="00BA7CF2" w:rsidP="00C94780">
            <w:pPr>
              <w:widowControl/>
              <w:spacing w:line="440" w:lineRule="exact"/>
              <w:rPr>
                <w:rFonts w:ascii="宋体" w:hAnsi="宋体" w:cs="宋体"/>
                <w:b/>
                <w:kern w:val="0"/>
                <w:sz w:val="24"/>
              </w:rPr>
            </w:pPr>
            <w:r>
              <w:rPr>
                <w:rFonts w:ascii="宋体" w:hAnsi="宋体" w:cs="宋体" w:hint="eastAsia"/>
                <w:b/>
                <w:kern w:val="0"/>
                <w:sz w:val="24"/>
              </w:rPr>
              <w:t>讲学酬金/场</w:t>
            </w:r>
          </w:p>
        </w:tc>
      </w:tr>
      <w:tr w:rsidR="00BA7CF2" w:rsidTr="00C94780">
        <w:trPr>
          <w:jc w:val="center"/>
        </w:trPr>
        <w:tc>
          <w:tcPr>
            <w:tcW w:w="908" w:type="dxa"/>
            <w:vMerge w:val="restart"/>
            <w:vAlign w:val="center"/>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校外</w:t>
            </w: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中级及以下职称</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300元</w:t>
            </w:r>
          </w:p>
        </w:tc>
      </w:tr>
      <w:tr w:rsidR="00BA7CF2" w:rsidTr="00C94780">
        <w:trPr>
          <w:jc w:val="center"/>
        </w:trPr>
        <w:tc>
          <w:tcPr>
            <w:tcW w:w="908" w:type="dxa"/>
            <w:vMerge/>
          </w:tcPr>
          <w:p w:rsidR="00BA7CF2" w:rsidRDefault="00BA7CF2" w:rsidP="00C94780">
            <w:pPr>
              <w:widowControl/>
              <w:spacing w:line="440" w:lineRule="exact"/>
              <w:rPr>
                <w:rFonts w:ascii="宋体" w:hAnsi="宋体" w:cs="宋体"/>
                <w:kern w:val="0"/>
                <w:sz w:val="24"/>
              </w:rPr>
            </w:pP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与学院有办学合作关系的单位负责人但无高级职称者</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600元</w:t>
            </w:r>
          </w:p>
        </w:tc>
      </w:tr>
      <w:tr w:rsidR="00BA7CF2" w:rsidTr="00C94780">
        <w:trPr>
          <w:jc w:val="center"/>
        </w:trPr>
        <w:tc>
          <w:tcPr>
            <w:tcW w:w="908" w:type="dxa"/>
            <w:vMerge/>
          </w:tcPr>
          <w:p w:rsidR="00BA7CF2" w:rsidRDefault="00BA7CF2" w:rsidP="00C94780">
            <w:pPr>
              <w:widowControl/>
              <w:spacing w:line="440" w:lineRule="exact"/>
              <w:rPr>
                <w:rFonts w:ascii="宋体" w:hAnsi="宋体" w:cs="宋体"/>
                <w:kern w:val="0"/>
                <w:sz w:val="24"/>
              </w:rPr>
            </w:pP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副高职称</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600元</w:t>
            </w:r>
          </w:p>
        </w:tc>
      </w:tr>
      <w:tr w:rsidR="00BA7CF2" w:rsidTr="00C94780">
        <w:trPr>
          <w:jc w:val="center"/>
        </w:trPr>
        <w:tc>
          <w:tcPr>
            <w:tcW w:w="908" w:type="dxa"/>
            <w:vMerge/>
          </w:tcPr>
          <w:p w:rsidR="00BA7CF2" w:rsidRDefault="00BA7CF2" w:rsidP="00C94780">
            <w:pPr>
              <w:widowControl/>
              <w:spacing w:line="440" w:lineRule="exact"/>
              <w:rPr>
                <w:rFonts w:ascii="宋体" w:hAnsi="宋体" w:cs="宋体"/>
                <w:kern w:val="0"/>
                <w:sz w:val="24"/>
              </w:rPr>
            </w:pP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正高职称</w:t>
            </w:r>
          </w:p>
        </w:tc>
        <w:tc>
          <w:tcPr>
            <w:tcW w:w="1802" w:type="dxa"/>
          </w:tcPr>
          <w:p w:rsidR="00BA7CF2" w:rsidRDefault="00BA7CF2" w:rsidP="00C94780">
            <w:pPr>
              <w:widowControl/>
              <w:spacing w:line="440" w:lineRule="exact"/>
              <w:ind w:firstLineChars="100" w:firstLine="240"/>
              <w:rPr>
                <w:rFonts w:ascii="宋体" w:hAnsi="宋体" w:cs="宋体"/>
                <w:kern w:val="0"/>
                <w:sz w:val="24"/>
              </w:rPr>
            </w:pPr>
            <w:r>
              <w:rPr>
                <w:rFonts w:ascii="宋体" w:hAnsi="宋体" w:cs="宋体" w:hint="eastAsia"/>
                <w:kern w:val="0"/>
                <w:sz w:val="24"/>
              </w:rPr>
              <w:t>1000元</w:t>
            </w:r>
          </w:p>
        </w:tc>
      </w:tr>
      <w:tr w:rsidR="00BA7CF2" w:rsidTr="00C94780">
        <w:trPr>
          <w:jc w:val="center"/>
        </w:trPr>
        <w:tc>
          <w:tcPr>
            <w:tcW w:w="908" w:type="dxa"/>
            <w:vMerge w:val="restart"/>
            <w:vAlign w:val="center"/>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校内</w:t>
            </w: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中级及以下职称</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200元</w:t>
            </w:r>
          </w:p>
        </w:tc>
      </w:tr>
      <w:tr w:rsidR="00BA7CF2" w:rsidTr="00C94780">
        <w:trPr>
          <w:jc w:val="center"/>
        </w:trPr>
        <w:tc>
          <w:tcPr>
            <w:tcW w:w="908" w:type="dxa"/>
            <w:vMerge/>
          </w:tcPr>
          <w:p w:rsidR="00BA7CF2" w:rsidRDefault="00BA7CF2" w:rsidP="00C94780">
            <w:pPr>
              <w:widowControl/>
              <w:spacing w:line="440" w:lineRule="exact"/>
              <w:rPr>
                <w:rFonts w:ascii="宋体" w:hAnsi="宋体" w:cs="宋体"/>
                <w:kern w:val="0"/>
                <w:sz w:val="24"/>
              </w:rPr>
            </w:pP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副高职称</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300元</w:t>
            </w:r>
          </w:p>
        </w:tc>
      </w:tr>
      <w:tr w:rsidR="00BA7CF2" w:rsidTr="00C94780">
        <w:trPr>
          <w:jc w:val="center"/>
        </w:trPr>
        <w:tc>
          <w:tcPr>
            <w:tcW w:w="908" w:type="dxa"/>
            <w:vMerge/>
          </w:tcPr>
          <w:p w:rsidR="00BA7CF2" w:rsidRDefault="00BA7CF2" w:rsidP="00C94780">
            <w:pPr>
              <w:widowControl/>
              <w:spacing w:line="440" w:lineRule="exact"/>
              <w:rPr>
                <w:rFonts w:ascii="宋体" w:hAnsi="宋体" w:cs="宋体"/>
                <w:kern w:val="0"/>
                <w:sz w:val="24"/>
              </w:rPr>
            </w:pPr>
          </w:p>
        </w:tc>
        <w:tc>
          <w:tcPr>
            <w:tcW w:w="4765" w:type="dxa"/>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正高职称</w:t>
            </w:r>
          </w:p>
        </w:tc>
        <w:tc>
          <w:tcPr>
            <w:tcW w:w="1802" w:type="dxa"/>
          </w:tcPr>
          <w:p w:rsidR="00BA7CF2" w:rsidRDefault="00BA7CF2" w:rsidP="00C94780">
            <w:pPr>
              <w:widowControl/>
              <w:spacing w:line="440" w:lineRule="exact"/>
              <w:jc w:val="center"/>
              <w:rPr>
                <w:rFonts w:ascii="宋体" w:hAnsi="宋体" w:cs="宋体"/>
                <w:kern w:val="0"/>
                <w:sz w:val="24"/>
              </w:rPr>
            </w:pPr>
            <w:r>
              <w:rPr>
                <w:rFonts w:ascii="宋体" w:hAnsi="宋体" w:cs="宋体" w:hint="eastAsia"/>
                <w:kern w:val="0"/>
                <w:sz w:val="24"/>
              </w:rPr>
              <w:t>400元</w:t>
            </w:r>
          </w:p>
        </w:tc>
      </w:tr>
      <w:tr w:rsidR="00BA7CF2" w:rsidTr="00C94780">
        <w:trPr>
          <w:jc w:val="center"/>
        </w:trPr>
        <w:tc>
          <w:tcPr>
            <w:tcW w:w="908" w:type="dxa"/>
            <w:vAlign w:val="center"/>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备注</w:t>
            </w:r>
          </w:p>
        </w:tc>
        <w:tc>
          <w:tcPr>
            <w:tcW w:w="6567" w:type="dxa"/>
            <w:gridSpan w:val="2"/>
          </w:tcPr>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1.校内外办学合作关系的认定以签订的协议书为准；</w:t>
            </w:r>
          </w:p>
          <w:p w:rsidR="00BA7CF2" w:rsidRDefault="00BA7CF2" w:rsidP="00C94780">
            <w:pPr>
              <w:widowControl/>
              <w:spacing w:line="440" w:lineRule="exact"/>
              <w:rPr>
                <w:rFonts w:ascii="宋体" w:hAnsi="宋体" w:cs="宋体"/>
                <w:kern w:val="0"/>
                <w:sz w:val="24"/>
              </w:rPr>
            </w:pPr>
            <w:r>
              <w:rPr>
                <w:rFonts w:ascii="宋体" w:hAnsi="宋体" w:cs="宋体" w:hint="eastAsia"/>
                <w:kern w:val="0"/>
                <w:sz w:val="24"/>
              </w:rPr>
              <w:t>2.特殊人员的讲学酬金由学院领导决定。</w:t>
            </w:r>
          </w:p>
        </w:tc>
      </w:tr>
    </w:tbl>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第十条</w:t>
      </w:r>
      <w:r>
        <w:rPr>
          <w:rFonts w:ascii="宋体" w:hAnsi="宋体" w:cs="宋体" w:hint="eastAsia"/>
          <w:kern w:val="0"/>
          <w:sz w:val="24"/>
        </w:rPr>
        <w:t xml:space="preserve"> 学院鼓励教师与各类专业技术人员参加校外学术会议。申请参加学术会议的程序为：申请人凭会议主办单位收录论文的正式通知或会议邀请函，以</w:t>
      </w:r>
      <w:r>
        <w:rPr>
          <w:rFonts w:ascii="宋体" w:hAnsi="宋体" w:cs="宋体" w:hint="eastAsia"/>
          <w:kern w:val="0"/>
          <w:sz w:val="24"/>
        </w:rPr>
        <w:lastRenderedPageBreak/>
        <w:t>及提交的学术论文，填写《汕头职业技术学院参加学术会议经费申请表》向系部（部门）提出申请，经系部（部门）负责人签署意见后，科研设备处对参加学术会议申请进行主题审核；属于境外学术会议或者境外资金资助的学术会议，由科研设备处会同党委宣传部进行主题审核。审核同意后报学院分管领导审批，审批</w:t>
      </w:r>
      <w:proofErr w:type="gramStart"/>
      <w:r>
        <w:rPr>
          <w:rFonts w:ascii="宋体" w:hAnsi="宋体" w:cs="宋体" w:hint="eastAsia"/>
          <w:kern w:val="0"/>
          <w:sz w:val="24"/>
        </w:rPr>
        <w:t>后教师</w:t>
      </w:r>
      <w:proofErr w:type="gramEnd"/>
      <w:r>
        <w:rPr>
          <w:rFonts w:ascii="宋体" w:hAnsi="宋体" w:cs="宋体" w:hint="eastAsia"/>
          <w:kern w:val="0"/>
          <w:sz w:val="24"/>
        </w:rPr>
        <w:t>与各类专业技术人员方可参加学术会议。</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第十一条</w:t>
      </w:r>
      <w:r>
        <w:rPr>
          <w:rFonts w:ascii="宋体" w:hAnsi="宋体" w:cs="宋体" w:hint="eastAsia"/>
          <w:kern w:val="0"/>
          <w:sz w:val="24"/>
        </w:rPr>
        <w:t xml:space="preserve"> 学术会议产生的学术活动经费的</w:t>
      </w:r>
      <w:proofErr w:type="gramStart"/>
      <w:r>
        <w:rPr>
          <w:rFonts w:ascii="宋体" w:hAnsi="宋体" w:cs="宋体" w:hint="eastAsia"/>
          <w:kern w:val="0"/>
          <w:sz w:val="24"/>
        </w:rPr>
        <w:t>报销按</w:t>
      </w:r>
      <w:proofErr w:type="gramEnd"/>
      <w:r>
        <w:rPr>
          <w:rFonts w:ascii="宋体" w:hAnsi="宋体" w:cs="宋体" w:hint="eastAsia"/>
          <w:kern w:val="0"/>
          <w:sz w:val="24"/>
        </w:rPr>
        <w:t>学院财务制度执行，科研设备处协调办理相关手续。</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第十二条</w:t>
      </w:r>
      <w:r>
        <w:rPr>
          <w:rFonts w:ascii="宋体" w:hAnsi="宋体" w:cs="宋体" w:hint="eastAsia"/>
          <w:kern w:val="0"/>
          <w:sz w:val="24"/>
        </w:rPr>
        <w:t xml:space="preserve"> 公派参加学术会议人员在会议结束回校后，应及时在一定范围内向同行报告会议内容，以扩大会议的受益面。所取得的所有学术会议资料，须交</w:t>
      </w:r>
      <w:proofErr w:type="gramStart"/>
      <w:r>
        <w:rPr>
          <w:rFonts w:ascii="宋体" w:hAnsi="宋体" w:cs="宋体" w:hint="eastAsia"/>
          <w:kern w:val="0"/>
          <w:sz w:val="24"/>
        </w:rPr>
        <w:t>所在系部作</w:t>
      </w:r>
      <w:proofErr w:type="gramEnd"/>
      <w:r>
        <w:rPr>
          <w:rFonts w:ascii="宋体" w:hAnsi="宋体" w:cs="宋体" w:hint="eastAsia"/>
          <w:kern w:val="0"/>
          <w:sz w:val="24"/>
        </w:rPr>
        <w:t>资料归档保存，个人需要，可借阅或复印。院级公派外出参会人员向科研设备处作返回汇报和资料归档。</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 xml:space="preserve">第十三条 </w:t>
      </w:r>
      <w:r>
        <w:rPr>
          <w:rFonts w:ascii="宋体" w:hAnsi="宋体" w:cs="宋体" w:hint="eastAsia"/>
          <w:kern w:val="0"/>
          <w:sz w:val="24"/>
        </w:rPr>
        <w:t>学院鼓励教师与各类专业技术人员参加各级各类学术团体并在其中担任相应职务。教师与各类专业技术人员参加市级以上学会、协会，获其中的领导职务资格者，应报科研设备处备案。</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第十四条</w:t>
      </w:r>
      <w:r>
        <w:rPr>
          <w:rFonts w:ascii="宋体" w:hAnsi="宋体" w:cs="宋体" w:hint="eastAsia"/>
          <w:kern w:val="0"/>
          <w:sz w:val="24"/>
        </w:rPr>
        <w:t xml:space="preserve"> 凡参加省级（含省级）以上学会的团体会员年度会费，由学院承担。其它级别学会则由各系（部）承担，个人会费由个人承担，特殊情况，由院长办公会议研究解决。</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第十五条</w:t>
      </w:r>
      <w:r>
        <w:rPr>
          <w:rFonts w:ascii="宋体" w:hAnsi="宋体" w:cs="宋体" w:hint="eastAsia"/>
          <w:kern w:val="0"/>
          <w:sz w:val="24"/>
        </w:rPr>
        <w:t xml:space="preserve"> 新成立的科研机构或学术团体，由发起人及所在部门按上级和有关部门规定程序办理，获批准成立后，向科研设备处申报备案，纳入统一管理。凡未向科研设备处申报备案的学术团体和研究机构，学院</w:t>
      </w:r>
      <w:proofErr w:type="gramStart"/>
      <w:r>
        <w:rPr>
          <w:rFonts w:ascii="宋体" w:hAnsi="宋体" w:cs="宋体" w:hint="eastAsia"/>
          <w:kern w:val="0"/>
          <w:sz w:val="24"/>
        </w:rPr>
        <w:t>不</w:t>
      </w:r>
      <w:proofErr w:type="gramEnd"/>
      <w:r>
        <w:rPr>
          <w:rFonts w:ascii="宋体" w:hAnsi="宋体" w:cs="宋体" w:hint="eastAsia"/>
          <w:kern w:val="0"/>
          <w:sz w:val="24"/>
        </w:rPr>
        <w:t>负相关责职。</w:t>
      </w:r>
    </w:p>
    <w:p w:rsidR="00BA7CF2" w:rsidRDefault="00BA7CF2" w:rsidP="00BA7CF2">
      <w:pPr>
        <w:widowControl/>
        <w:spacing w:line="440" w:lineRule="exact"/>
        <w:ind w:firstLineChars="200" w:firstLine="482"/>
        <w:rPr>
          <w:rFonts w:ascii="宋体" w:hAnsi="宋体" w:cs="宋体"/>
          <w:kern w:val="0"/>
          <w:sz w:val="24"/>
        </w:rPr>
      </w:pPr>
      <w:r>
        <w:rPr>
          <w:rFonts w:ascii="宋体" w:hAnsi="宋体" w:cs="宋体" w:hint="eastAsia"/>
          <w:b/>
          <w:bCs/>
          <w:kern w:val="0"/>
          <w:sz w:val="24"/>
        </w:rPr>
        <w:t>第十六条</w:t>
      </w:r>
      <w:r>
        <w:rPr>
          <w:rFonts w:ascii="宋体" w:hAnsi="宋体" w:cs="宋体" w:hint="eastAsia"/>
          <w:kern w:val="0"/>
          <w:sz w:val="24"/>
        </w:rPr>
        <w:t xml:space="preserve"> 本规定自印发之日起实施。由科研设备处负责解释。原《汕头职业技术学院学术活动管理暂行规定（试行）》（</w:t>
      </w:r>
      <w:proofErr w:type="gramStart"/>
      <w:r>
        <w:rPr>
          <w:rFonts w:ascii="宋体" w:hAnsi="宋体" w:cs="宋体" w:hint="eastAsia"/>
          <w:kern w:val="0"/>
          <w:sz w:val="24"/>
        </w:rPr>
        <w:t>汕</w:t>
      </w:r>
      <w:proofErr w:type="gramEnd"/>
      <w:r>
        <w:rPr>
          <w:rFonts w:ascii="宋体" w:hAnsi="宋体" w:cs="宋体" w:hint="eastAsia"/>
          <w:kern w:val="0"/>
          <w:sz w:val="24"/>
        </w:rPr>
        <w:t>职院发〔2012〕67号）同时废止。</w:t>
      </w:r>
    </w:p>
    <w:p w:rsidR="00BA7CF2" w:rsidRDefault="00BA7CF2" w:rsidP="00BA7CF2">
      <w:pPr>
        <w:widowControl/>
        <w:spacing w:line="440" w:lineRule="exact"/>
        <w:rPr>
          <w:rFonts w:ascii="宋体" w:hAnsi="宋体" w:cs="宋体"/>
          <w:kern w:val="0"/>
          <w:sz w:val="24"/>
        </w:rPr>
      </w:pPr>
    </w:p>
    <w:p w:rsidR="00BA7CF2" w:rsidRDefault="00BA7CF2" w:rsidP="00BA7CF2">
      <w:pPr>
        <w:widowControl/>
        <w:spacing w:line="440" w:lineRule="exact"/>
        <w:ind w:firstLineChars="200" w:firstLine="480"/>
        <w:rPr>
          <w:rFonts w:ascii="宋体" w:hAnsi="宋体" w:cs="宋体"/>
          <w:kern w:val="0"/>
          <w:sz w:val="24"/>
        </w:rPr>
      </w:pPr>
      <w:r>
        <w:rPr>
          <w:rFonts w:ascii="宋体" w:hAnsi="宋体" w:cs="宋体" w:hint="eastAsia"/>
          <w:kern w:val="0"/>
          <w:sz w:val="24"/>
        </w:rPr>
        <w:t>附件：汕头职业技术学院学术交流经费申请流程图</w:t>
      </w:r>
    </w:p>
    <w:p w:rsidR="00BA7CF2" w:rsidRDefault="00BA7CF2" w:rsidP="00BA7CF2">
      <w:pPr>
        <w:widowControl/>
        <w:spacing w:line="440" w:lineRule="exact"/>
        <w:rPr>
          <w:rFonts w:ascii="宋体" w:hAnsi="宋体" w:cs="宋体"/>
          <w:kern w:val="0"/>
          <w:sz w:val="24"/>
        </w:rPr>
      </w:pPr>
    </w:p>
    <w:p w:rsidR="0016278C" w:rsidRPr="00BA7CF2" w:rsidRDefault="0016278C">
      <w:bookmarkStart w:id="0" w:name="_GoBack"/>
      <w:bookmarkEnd w:id="0"/>
    </w:p>
    <w:sectPr w:rsidR="0016278C" w:rsidRPr="00BA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F2"/>
    <w:rsid w:val="0016278C"/>
    <w:rsid w:val="00BA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473B-03C9-4FF6-8CDF-DA556C12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A7C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2021</Characters>
  <Application>Microsoft Office Word</Application>
  <DocSecurity>0</DocSecurity>
  <Lines>16</Lines>
  <Paragraphs>4</Paragraphs>
  <ScaleCrop>false</ScaleCrop>
  <Company>HP</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2024-09-14T09:03:00Z</dcterms:created>
  <dcterms:modified xsi:type="dcterms:W3CDTF">2024-09-14T09:03:00Z</dcterms:modified>
</cp:coreProperties>
</file>