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CC" w:rsidRPr="003A7BCC" w:rsidRDefault="003A7BCC" w:rsidP="003A7BCC">
      <w:pPr>
        <w:widowControl/>
        <w:numPr>
          <w:ilvl w:val="0"/>
          <w:numId w:val="5"/>
        </w:numPr>
        <w:wordWrap/>
        <w:spacing w:before="450" w:line="750" w:lineRule="atLeast"/>
        <w:ind w:firstLineChars="0" w:firstLine="720"/>
        <w:jc w:val="center"/>
        <w:outlineLvl w:val="3"/>
        <w:rPr>
          <w:rFonts w:ascii="微软雅黑" w:eastAsia="微软雅黑" w:hAnsi="微软雅黑" w:cs="宋体"/>
          <w:b/>
          <w:bCs/>
          <w:color w:val="BF360C"/>
          <w:kern w:val="0"/>
          <w:sz w:val="36"/>
          <w:szCs w:val="36"/>
        </w:rPr>
      </w:pPr>
      <w:r w:rsidRPr="003A7BCC">
        <w:rPr>
          <w:rFonts w:ascii="微软雅黑" w:eastAsia="微软雅黑" w:hAnsi="微软雅黑" w:cs="宋体" w:hint="eastAsia"/>
          <w:b/>
          <w:bCs/>
          <w:color w:val="BF360C"/>
          <w:kern w:val="0"/>
          <w:sz w:val="36"/>
          <w:szCs w:val="36"/>
        </w:rPr>
        <w:t>广东省发展改革委 广东省教育厅 广东省财政厅关于调整公办普通高等学校学费的通知</w:t>
      </w:r>
    </w:p>
    <w:p w:rsidR="003A7BCC" w:rsidRPr="003A7BCC" w:rsidRDefault="003A7BCC" w:rsidP="003A7BCC">
      <w:pPr>
        <w:widowControl/>
        <w:wordWrap/>
        <w:spacing w:line="360" w:lineRule="atLeast"/>
        <w:ind w:firstLineChars="0" w:firstLine="0"/>
        <w:jc w:val="left"/>
        <w:rPr>
          <w:rFonts w:ascii="微软雅黑" w:eastAsia="微软雅黑" w:hAnsi="微软雅黑" w:cs="宋体" w:hint="eastAsia"/>
          <w:color w:val="333333"/>
          <w:kern w:val="0"/>
          <w:sz w:val="21"/>
        </w:rPr>
      </w:pPr>
      <w:r w:rsidRPr="003A7BCC">
        <w:rPr>
          <w:rFonts w:ascii="微软雅黑" w:eastAsia="微软雅黑" w:hAnsi="微软雅黑" w:cs="宋体" w:hint="eastAsia"/>
          <w:color w:val="666666"/>
          <w:kern w:val="0"/>
          <w:sz w:val="21"/>
        </w:rPr>
        <w:t>信息来源：收费管理处时间：2016-06-16 18:01:00</w:t>
      </w:r>
    </w:p>
    <w:p w:rsidR="003A7BCC" w:rsidRPr="003A7BCC" w:rsidRDefault="003A7BCC" w:rsidP="003A7BCC">
      <w:pPr>
        <w:widowControl/>
        <w:wordWrap/>
        <w:spacing w:line="510" w:lineRule="atLeast"/>
        <w:ind w:firstLineChars="0" w:firstLine="0"/>
        <w:jc w:val="left"/>
        <w:rPr>
          <w:rFonts w:ascii="微软雅黑" w:eastAsia="微软雅黑" w:hAnsi="微软雅黑" w:cs="宋体" w:hint="eastAsia"/>
          <w:color w:val="666666"/>
          <w:kern w:val="0"/>
          <w:sz w:val="21"/>
        </w:rPr>
      </w:pPr>
      <w:r w:rsidRPr="003A7BCC">
        <w:rPr>
          <w:rFonts w:ascii="微软雅黑" w:eastAsia="微软雅黑" w:hAnsi="微软雅黑" w:cs="宋体" w:hint="eastAsia"/>
          <w:color w:val="666666"/>
          <w:kern w:val="0"/>
          <w:sz w:val="21"/>
        </w:rPr>
        <w:t>字体： </w:t>
      </w:r>
      <w:hyperlink r:id="rId5" w:history="1">
        <w:r w:rsidRPr="003A7BCC">
          <w:rPr>
            <w:rFonts w:ascii="微软雅黑" w:eastAsia="微软雅黑" w:hAnsi="微软雅黑" w:cs="宋体" w:hint="eastAsia"/>
            <w:color w:val="666666"/>
            <w:kern w:val="0"/>
            <w:sz w:val="21"/>
            <w:u w:val="single"/>
          </w:rPr>
          <w:t>[大] </w:t>
        </w:r>
      </w:hyperlink>
      <w:hyperlink r:id="rId6" w:history="1">
        <w:r w:rsidRPr="003A7BCC">
          <w:rPr>
            <w:rFonts w:ascii="微软雅黑" w:eastAsia="微软雅黑" w:hAnsi="微软雅黑" w:cs="宋体" w:hint="eastAsia"/>
            <w:color w:val="666666"/>
            <w:kern w:val="0"/>
            <w:sz w:val="21"/>
            <w:u w:val="single"/>
          </w:rPr>
          <w:t>[中]</w:t>
        </w:r>
      </w:hyperlink>
      <w:r w:rsidRPr="003A7BCC">
        <w:rPr>
          <w:rFonts w:ascii="微软雅黑" w:eastAsia="微软雅黑" w:hAnsi="微软雅黑" w:cs="宋体" w:hint="eastAsia"/>
          <w:color w:val="666666"/>
          <w:kern w:val="0"/>
          <w:sz w:val="21"/>
        </w:rPr>
        <w:t> </w:t>
      </w:r>
      <w:hyperlink r:id="rId7" w:history="1">
        <w:r w:rsidRPr="003A7BCC">
          <w:rPr>
            <w:rFonts w:ascii="微软雅黑" w:eastAsia="微软雅黑" w:hAnsi="微软雅黑" w:cs="宋体" w:hint="eastAsia"/>
            <w:color w:val="666666"/>
            <w:kern w:val="0"/>
            <w:sz w:val="21"/>
            <w:u w:val="single"/>
          </w:rPr>
          <w:t>[小]</w:t>
        </w:r>
      </w:hyperlink>
    </w:p>
    <w:p w:rsidR="003A7BCC" w:rsidRPr="003A7BCC" w:rsidRDefault="003A7BCC" w:rsidP="003A7BCC">
      <w:pPr>
        <w:widowControl/>
        <w:wordWrap/>
        <w:spacing w:before="150" w:line="540" w:lineRule="atLeast"/>
        <w:ind w:firstLineChars="0" w:firstLine="0"/>
        <w:jc w:val="center"/>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粤</w:t>
      </w:r>
      <w:proofErr w:type="gramStart"/>
      <w:r w:rsidRPr="003A7BCC">
        <w:rPr>
          <w:rFonts w:ascii="微软雅黑" w:eastAsia="微软雅黑" w:hAnsi="微软雅黑" w:cs="宋体" w:hint="eastAsia"/>
          <w:color w:val="333333"/>
          <w:kern w:val="0"/>
          <w:szCs w:val="24"/>
        </w:rPr>
        <w:t>发改价格</w:t>
      </w:r>
      <w:proofErr w:type="gramEnd"/>
      <w:r w:rsidRPr="003A7BCC">
        <w:rPr>
          <w:rFonts w:ascii="微软雅黑" w:eastAsia="微软雅黑" w:hAnsi="微软雅黑" w:cs="宋体" w:hint="eastAsia"/>
          <w:color w:val="333333"/>
          <w:kern w:val="0"/>
          <w:szCs w:val="24"/>
        </w:rPr>
        <w:t>〔2016〕367号</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各地级以上市发展改革局（委）、教育局、财政局（委），深圳市市场监管委，顺德区发展规划和统计局、教育局、财税局，各高等学校：</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为进一步完善我省公办高等教育成本分担机制，规范收费行为，促进高等教育事业持续健康发展，经省人民政府同意，决定对我省公办普通高校学费进行调整。现就有关事项通知如下：</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一、规范学校和学科分类。我省公办普通高校</w:t>
      </w:r>
      <w:proofErr w:type="gramStart"/>
      <w:r w:rsidRPr="003A7BCC">
        <w:rPr>
          <w:rFonts w:ascii="微软雅黑" w:eastAsia="微软雅黑" w:hAnsi="微软雅黑" w:cs="宋体" w:hint="eastAsia"/>
          <w:color w:val="333333"/>
          <w:kern w:val="0"/>
          <w:szCs w:val="24"/>
        </w:rPr>
        <w:t>按具有</w:t>
      </w:r>
      <w:proofErr w:type="gramEnd"/>
      <w:r w:rsidRPr="003A7BCC">
        <w:rPr>
          <w:rFonts w:ascii="微软雅黑" w:eastAsia="微软雅黑" w:hAnsi="微软雅黑" w:cs="宋体" w:hint="eastAsia"/>
          <w:color w:val="333333"/>
          <w:kern w:val="0"/>
          <w:szCs w:val="24"/>
        </w:rPr>
        <w:t>博士学位授予权本科院校、具有硕士学位授予权（</w:t>
      </w:r>
      <w:proofErr w:type="gramStart"/>
      <w:r w:rsidRPr="003A7BCC">
        <w:rPr>
          <w:rFonts w:ascii="微软雅黑" w:eastAsia="微软雅黑" w:hAnsi="微软雅黑" w:cs="宋体" w:hint="eastAsia"/>
          <w:color w:val="333333"/>
          <w:kern w:val="0"/>
          <w:szCs w:val="24"/>
        </w:rPr>
        <w:t>含试点</w:t>
      </w:r>
      <w:proofErr w:type="gramEnd"/>
      <w:r w:rsidRPr="003A7BCC">
        <w:rPr>
          <w:rFonts w:ascii="微软雅黑" w:eastAsia="微软雅黑" w:hAnsi="微软雅黑" w:cs="宋体" w:hint="eastAsia"/>
          <w:color w:val="333333"/>
          <w:kern w:val="0"/>
          <w:szCs w:val="24"/>
        </w:rPr>
        <w:t>单位）本科院校、不具有硕士学位授予权的本科院校、高职院校四类制定学费标准；各学科门类的学费标准，本科院校按文科类、理工外语体育类、医学类、艺术类四类，高职院校（</w:t>
      </w:r>
      <w:proofErr w:type="gramStart"/>
      <w:r w:rsidRPr="003A7BCC">
        <w:rPr>
          <w:rFonts w:ascii="微软雅黑" w:eastAsia="微软雅黑" w:hAnsi="微软雅黑" w:cs="宋体" w:hint="eastAsia"/>
          <w:color w:val="333333"/>
          <w:kern w:val="0"/>
          <w:szCs w:val="24"/>
        </w:rPr>
        <w:t>含普通</w:t>
      </w:r>
      <w:proofErr w:type="gramEnd"/>
      <w:r w:rsidRPr="003A7BCC">
        <w:rPr>
          <w:rFonts w:ascii="微软雅黑" w:eastAsia="微软雅黑" w:hAnsi="微软雅黑" w:cs="宋体" w:hint="eastAsia"/>
          <w:color w:val="333333"/>
          <w:kern w:val="0"/>
          <w:szCs w:val="24"/>
        </w:rPr>
        <w:t>本科学院的专科专业）按文科类、艺术类、其他类三类分别制定。其中，艺术类划分为理论类艺术专业和其他非理论类艺术专业。</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二、调整学费标准。按照“以生均培养成本为基础，以优质优价为遵循，以成本合理分担为依据，以保障困难家庭学生读得起书为底线”的原则，调整我省公办普通高校学费标准。调整后的学费标准详见附件。</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lastRenderedPageBreak/>
        <w:t xml:space="preserve">　　高水平建设大学和建设学科的学费标准在具有博士授予权本科院校学费标准的基础上再上浮10%。农学类专业学费按理工外语体育类专业学费标准的80%收取。交叉类学科专业以所属学科门类收取相应的学费。普通艺术院校及普通高校艺术类专业的学费标准暂不作调整。</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实行“新生新办法，老生老办法”。2016年秋季起入学的本、专科新生执行调整后的学费标准，现在校学生仍执行原学费标准。</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三、改革收费管理方式。按照“实行学分制收费的学费不得高于按学年制收费的总额”的原则，逐步将学年制收费改按学分学费和专业学费两部分收取。具备条件的高校（或部分专业）按《广东省发展改革委 广东省教育厅 广东省财政厅关于广东省普通高校学分制收费的管理办法》（另行印发）核算专业学费和学分学费的具体标准，报省发展改革委、省教育厅备案后，由学校向社会公示后执行。</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四、落实并完善家庭经济困难学生资助政策。严格落实国家和省“奖、贷、助、勤、补、免”等资助政策。各高校每年确保从事业收入中足额提取5%的经费专项用于学生资助，并将结果向社会公示。教育部门定期开展高校资助政策落实和资助资金提取、使用情况的督导和审计，确保资助政策落实到位。进一步加大资助力度，2016年底前，各高校勤工助学临时岗位薪酬标准提高到不低于12元/小时，有条件的高校提高至不低于18元/小时。各有关部门和高校要加强宣传，确保学生和家长全面、准确知悉政策，申请资助。</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五、加强经费使用监管。各级教育、财政部门要进一步健全高校经费投入与使用监督机制，督促各高校加强经费管理，完善财务制度，落实预决算公开公示</w:t>
      </w:r>
      <w:r w:rsidRPr="003A7BCC">
        <w:rPr>
          <w:rFonts w:ascii="微软雅黑" w:eastAsia="微软雅黑" w:hAnsi="微软雅黑" w:cs="宋体" w:hint="eastAsia"/>
          <w:color w:val="333333"/>
          <w:kern w:val="0"/>
          <w:szCs w:val="24"/>
        </w:rPr>
        <w:lastRenderedPageBreak/>
        <w:t>制度，确保增加的教育经费用于提升办学水平和教学质量。各级价格、财政、教育主管部门要加强监督检查，督促学校严格执行收费政策，规范收费行为。</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六、加强财政保障。学费标准调整后，各级财政继续加大对高等教育的支持力度，确保高校发展的合理需要。</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本通知自2016年秋季新学年起执行，此前与本通知不一致的，按本通知执行。　　</w:t>
      </w:r>
    </w:p>
    <w:p w:rsidR="003A7BCC" w:rsidRPr="003A7BCC" w:rsidRDefault="003A7BCC" w:rsidP="003A7BCC">
      <w:pPr>
        <w:widowControl/>
        <w:wordWrap/>
        <w:spacing w:before="150" w:line="540" w:lineRule="atLeast"/>
        <w:ind w:firstLineChars="0" w:firstLine="0"/>
        <w:jc w:val="lef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 xml:space="preserve">　　附件：广东省公办普通高等学校学费标准表</w:t>
      </w:r>
    </w:p>
    <w:p w:rsidR="003A7BCC" w:rsidRPr="003A7BCC" w:rsidRDefault="003A7BCC" w:rsidP="003A7BCC">
      <w:pPr>
        <w:widowControl/>
        <w:wordWrap/>
        <w:spacing w:before="150" w:line="540" w:lineRule="atLeast"/>
        <w:ind w:firstLineChars="0" w:firstLine="0"/>
        <w:jc w:val="righ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广东省发展改革委 广东省教育厅 广东省财政厅</w:t>
      </w:r>
    </w:p>
    <w:p w:rsidR="003A7BCC" w:rsidRPr="003A7BCC" w:rsidRDefault="003A7BCC" w:rsidP="003A7BCC">
      <w:pPr>
        <w:widowControl/>
        <w:wordWrap/>
        <w:spacing w:before="150" w:line="540" w:lineRule="atLeast"/>
        <w:ind w:firstLineChars="0" w:firstLine="480"/>
        <w:jc w:val="right"/>
        <w:rPr>
          <w:rFonts w:ascii="微软雅黑" w:eastAsia="微软雅黑" w:hAnsi="微软雅黑" w:cs="宋体" w:hint="eastAsia"/>
          <w:color w:val="333333"/>
          <w:kern w:val="0"/>
          <w:szCs w:val="24"/>
        </w:rPr>
      </w:pPr>
      <w:r w:rsidRPr="003A7BCC">
        <w:rPr>
          <w:rFonts w:ascii="微软雅黑" w:eastAsia="微软雅黑" w:hAnsi="微软雅黑" w:cs="宋体" w:hint="eastAsia"/>
          <w:color w:val="333333"/>
          <w:kern w:val="0"/>
          <w:szCs w:val="24"/>
        </w:rPr>
        <w:t>2016年6月16日    </w:t>
      </w:r>
    </w:p>
    <w:p w:rsidR="00623AD3" w:rsidRDefault="00623AD3" w:rsidP="008F045D">
      <w:pPr>
        <w:ind w:firstLine="480"/>
        <w:rPr>
          <w:rFonts w:hint="eastAsia"/>
        </w:rPr>
      </w:pPr>
    </w:p>
    <w:sectPr w:rsidR="00623AD3" w:rsidSect="00623A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D62"/>
    <w:multiLevelType w:val="multilevel"/>
    <w:tmpl w:val="8E4EE426"/>
    <w:lvl w:ilvl="0">
      <w:start w:val="1"/>
      <w:numFmt w:val="decimal"/>
      <w:pStyle w:val="1"/>
      <w:suff w:val="space"/>
      <w:lvlText w:val="项目%1"/>
      <w:lvlJc w:val="left"/>
      <w:pPr>
        <w:ind w:left="0" w:firstLine="0"/>
      </w:pPr>
      <w:rPr>
        <w:rFonts w:hint="eastAsia"/>
      </w:rPr>
    </w:lvl>
    <w:lvl w:ilvl="1">
      <w:start w:val="1"/>
      <w:numFmt w:val="decimal"/>
      <w:pStyle w:val="2"/>
      <w:suff w:val="space"/>
      <w:lvlText w:val="任务%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4."/>
      <w:lvlJc w:val="left"/>
      <w:pPr>
        <w:ind w:left="0" w:firstLine="482"/>
      </w:pPr>
      <w:rPr>
        <w:rFonts w:hint="eastAsia"/>
      </w:rPr>
    </w:lvl>
    <w:lvl w:ilvl="4">
      <w:start w:val="1"/>
      <w:numFmt w:val="decimal"/>
      <w:pStyle w:val="5"/>
      <w:suff w:val="space"/>
      <w:lvlText w:val="(%5)"/>
      <w:lvlJc w:val="left"/>
      <w:pPr>
        <w:ind w:left="0" w:firstLine="48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7BCC"/>
    <w:rsid w:val="003A7BCC"/>
    <w:rsid w:val="00623AD3"/>
    <w:rsid w:val="008F045D"/>
    <w:rsid w:val="009B5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5D"/>
    <w:pPr>
      <w:widowControl w:val="0"/>
      <w:wordWrap w:val="0"/>
      <w:spacing w:line="288" w:lineRule="auto"/>
      <w:ind w:firstLineChars="200" w:firstLine="200"/>
      <w:jc w:val="both"/>
    </w:pPr>
    <w:rPr>
      <w:rFonts w:ascii="Times New Roman" w:hAnsi="Times New Roman"/>
      <w:sz w:val="24"/>
      <w:szCs w:val="21"/>
    </w:rPr>
  </w:style>
  <w:style w:type="paragraph" w:styleId="1">
    <w:name w:val="heading 1"/>
    <w:basedOn w:val="a"/>
    <w:next w:val="a"/>
    <w:link w:val="1Char"/>
    <w:uiPriority w:val="9"/>
    <w:qFormat/>
    <w:rsid w:val="008F045D"/>
    <w:pPr>
      <w:keepNext/>
      <w:keepLines/>
      <w:numPr>
        <w:numId w:val="5"/>
      </w:numPr>
      <w:spacing w:beforeLines="50" w:afterLines="50"/>
      <w:jc w:val="center"/>
      <w:outlineLvl w:val="0"/>
    </w:pPr>
    <w:rPr>
      <w:rFonts w:eastAsia="黑体"/>
      <w:b/>
      <w:bCs/>
      <w:kern w:val="44"/>
      <w:sz w:val="36"/>
      <w:szCs w:val="44"/>
    </w:rPr>
  </w:style>
  <w:style w:type="paragraph" w:styleId="2">
    <w:name w:val="heading 2"/>
    <w:basedOn w:val="a"/>
    <w:next w:val="a"/>
    <w:link w:val="2Char"/>
    <w:uiPriority w:val="9"/>
    <w:unhideWhenUsed/>
    <w:qFormat/>
    <w:rsid w:val="008F045D"/>
    <w:pPr>
      <w:keepNext/>
      <w:keepLines/>
      <w:numPr>
        <w:ilvl w:val="1"/>
        <w:numId w:val="5"/>
      </w:numPr>
      <w:jc w:val="left"/>
      <w:outlineLvl w:val="1"/>
    </w:pPr>
    <w:rPr>
      <w:rFonts w:eastAsia="黑体" w:cstheme="majorBidi"/>
      <w:b/>
      <w:bCs/>
      <w:sz w:val="30"/>
      <w:szCs w:val="32"/>
    </w:rPr>
  </w:style>
  <w:style w:type="paragraph" w:styleId="3">
    <w:name w:val="heading 3"/>
    <w:basedOn w:val="a"/>
    <w:next w:val="a"/>
    <w:link w:val="3Char"/>
    <w:uiPriority w:val="9"/>
    <w:unhideWhenUsed/>
    <w:qFormat/>
    <w:rsid w:val="008F045D"/>
    <w:pPr>
      <w:keepNext/>
      <w:keepLines/>
      <w:numPr>
        <w:ilvl w:val="2"/>
        <w:numId w:val="5"/>
      </w:numPr>
      <w:jc w:val="left"/>
      <w:outlineLvl w:val="2"/>
    </w:pPr>
    <w:rPr>
      <w:rFonts w:eastAsia="黑体"/>
      <w:b/>
      <w:bCs/>
      <w:sz w:val="28"/>
      <w:szCs w:val="32"/>
    </w:rPr>
  </w:style>
  <w:style w:type="paragraph" w:styleId="4">
    <w:name w:val="heading 4"/>
    <w:basedOn w:val="a"/>
    <w:next w:val="a"/>
    <w:link w:val="4Char"/>
    <w:uiPriority w:val="9"/>
    <w:unhideWhenUsed/>
    <w:qFormat/>
    <w:rsid w:val="008F045D"/>
    <w:pPr>
      <w:keepNext/>
      <w:keepLines/>
      <w:numPr>
        <w:ilvl w:val="3"/>
        <w:numId w:val="5"/>
      </w:numPr>
      <w:outlineLvl w:val="3"/>
    </w:pPr>
    <w:rPr>
      <w:rFonts w:eastAsia="黑体" w:cstheme="majorBidi"/>
      <w:b/>
      <w:bCs/>
      <w:szCs w:val="28"/>
    </w:rPr>
  </w:style>
  <w:style w:type="paragraph" w:styleId="5">
    <w:name w:val="heading 5"/>
    <w:basedOn w:val="a"/>
    <w:next w:val="a"/>
    <w:link w:val="5Char"/>
    <w:uiPriority w:val="9"/>
    <w:unhideWhenUsed/>
    <w:qFormat/>
    <w:rsid w:val="008F045D"/>
    <w:pPr>
      <w:keepNext/>
      <w:keepLines/>
      <w:numPr>
        <w:ilvl w:val="4"/>
        <w:numId w:val="5"/>
      </w:numPr>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045D"/>
    <w:rPr>
      <w:rFonts w:ascii="Times New Roman" w:eastAsia="黑体" w:hAnsi="Times New Roman"/>
      <w:b/>
      <w:bCs/>
      <w:kern w:val="44"/>
      <w:sz w:val="36"/>
      <w:szCs w:val="44"/>
    </w:rPr>
  </w:style>
  <w:style w:type="character" w:customStyle="1" w:styleId="2Char">
    <w:name w:val="标题 2 Char"/>
    <w:basedOn w:val="a0"/>
    <w:link w:val="2"/>
    <w:uiPriority w:val="9"/>
    <w:rsid w:val="008F045D"/>
    <w:rPr>
      <w:rFonts w:ascii="Times New Roman" w:eastAsia="黑体" w:hAnsi="Times New Roman" w:cstheme="majorBidi"/>
      <w:b/>
      <w:bCs/>
      <w:sz w:val="30"/>
      <w:szCs w:val="32"/>
    </w:rPr>
  </w:style>
  <w:style w:type="character" w:customStyle="1" w:styleId="3Char">
    <w:name w:val="标题 3 Char"/>
    <w:basedOn w:val="a0"/>
    <w:link w:val="3"/>
    <w:uiPriority w:val="9"/>
    <w:rsid w:val="008F045D"/>
    <w:rPr>
      <w:rFonts w:ascii="Times New Roman" w:eastAsia="黑体" w:hAnsi="Times New Roman"/>
      <w:b/>
      <w:bCs/>
      <w:sz w:val="28"/>
      <w:szCs w:val="32"/>
    </w:rPr>
  </w:style>
  <w:style w:type="character" w:customStyle="1" w:styleId="4Char">
    <w:name w:val="标题 4 Char"/>
    <w:basedOn w:val="a0"/>
    <w:link w:val="4"/>
    <w:uiPriority w:val="9"/>
    <w:rsid w:val="008F045D"/>
    <w:rPr>
      <w:rFonts w:ascii="Times New Roman" w:eastAsia="黑体" w:hAnsi="Times New Roman" w:cstheme="majorBidi"/>
      <w:b/>
      <w:bCs/>
      <w:sz w:val="24"/>
      <w:szCs w:val="28"/>
    </w:rPr>
  </w:style>
  <w:style w:type="character" w:customStyle="1" w:styleId="5Char">
    <w:name w:val="标题 5 Char"/>
    <w:basedOn w:val="a0"/>
    <w:link w:val="5"/>
    <w:uiPriority w:val="9"/>
    <w:rsid w:val="008F045D"/>
    <w:rPr>
      <w:rFonts w:ascii="Times New Roman" w:hAnsi="Times New Roman"/>
      <w:bCs/>
      <w:sz w:val="24"/>
      <w:szCs w:val="28"/>
    </w:rPr>
  </w:style>
  <w:style w:type="paragraph" w:customStyle="1" w:styleId="a3">
    <w:name w:val="表格文字"/>
    <w:basedOn w:val="a"/>
    <w:qFormat/>
    <w:rsid w:val="008F045D"/>
    <w:pPr>
      <w:jc w:val="center"/>
    </w:pPr>
  </w:style>
  <w:style w:type="character" w:styleId="a4">
    <w:name w:val="Hyperlink"/>
    <w:basedOn w:val="a0"/>
    <w:uiPriority w:val="99"/>
    <w:semiHidden/>
    <w:unhideWhenUsed/>
    <w:rsid w:val="003A7BCC"/>
    <w:rPr>
      <w:color w:val="0000FF"/>
      <w:u w:val="single"/>
    </w:rPr>
  </w:style>
  <w:style w:type="paragraph" w:styleId="a5">
    <w:name w:val="Normal (Web)"/>
    <w:basedOn w:val="a"/>
    <w:uiPriority w:val="99"/>
    <w:semiHidden/>
    <w:unhideWhenUsed/>
    <w:rsid w:val="003A7BCC"/>
    <w:pPr>
      <w:widowControl/>
      <w:wordWrap/>
      <w:spacing w:before="100" w:beforeAutospacing="1" w:after="100" w:afterAutospacing="1" w:line="240" w:lineRule="auto"/>
      <w:ind w:firstLineChars="0" w:firstLine="0"/>
      <w:jc w:val="left"/>
    </w:pPr>
    <w:rPr>
      <w:rFonts w:ascii="宋体" w:eastAsia="宋体" w:hAnsi="宋体" w:cs="宋体"/>
      <w:kern w:val="0"/>
      <w:szCs w:val="24"/>
    </w:rPr>
  </w:style>
</w:styles>
</file>

<file path=word/webSettings.xml><?xml version="1.0" encoding="utf-8"?>
<w:webSettings xmlns:r="http://schemas.openxmlformats.org/officeDocument/2006/relationships" xmlns:w="http://schemas.openxmlformats.org/wordprocessingml/2006/main">
  <w:divs>
    <w:div w:id="2132165387">
      <w:bodyDiv w:val="1"/>
      <w:marLeft w:val="0"/>
      <w:marRight w:val="0"/>
      <w:marTop w:val="0"/>
      <w:marBottom w:val="0"/>
      <w:divBdr>
        <w:top w:val="none" w:sz="0" w:space="0" w:color="auto"/>
        <w:left w:val="none" w:sz="0" w:space="0" w:color="auto"/>
        <w:bottom w:val="none" w:sz="0" w:space="0" w:color="auto"/>
        <w:right w:val="none" w:sz="0" w:space="0" w:color="auto"/>
      </w:divBdr>
      <w:divsChild>
        <w:div w:id="1026634517">
          <w:marLeft w:val="0"/>
          <w:marRight w:val="0"/>
          <w:marTop w:val="0"/>
          <w:marBottom w:val="0"/>
          <w:divBdr>
            <w:top w:val="none" w:sz="0" w:space="0" w:color="auto"/>
            <w:left w:val="none" w:sz="0" w:space="0" w:color="auto"/>
            <w:bottom w:val="none" w:sz="0" w:space="0" w:color="auto"/>
            <w:right w:val="none" w:sz="0" w:space="0" w:color="auto"/>
          </w:divBdr>
          <w:divsChild>
            <w:div w:id="1291131354">
              <w:marLeft w:val="0"/>
              <w:marRight w:val="450"/>
              <w:marTop w:val="0"/>
              <w:marBottom w:val="0"/>
              <w:divBdr>
                <w:top w:val="none" w:sz="0" w:space="0" w:color="auto"/>
                <w:left w:val="none" w:sz="0" w:space="0" w:color="auto"/>
                <w:bottom w:val="none" w:sz="0" w:space="0" w:color="auto"/>
                <w:right w:val="none" w:sz="0" w:space="0" w:color="auto"/>
              </w:divBdr>
            </w:div>
          </w:divsChild>
        </w:div>
        <w:div w:id="267005488">
          <w:marLeft w:val="0"/>
          <w:marRight w:val="0"/>
          <w:marTop w:val="0"/>
          <w:marBottom w:val="0"/>
          <w:divBdr>
            <w:top w:val="none" w:sz="0" w:space="0" w:color="auto"/>
            <w:left w:val="none" w:sz="0" w:space="0" w:color="auto"/>
            <w:bottom w:val="none" w:sz="0" w:space="0" w:color="auto"/>
            <w:right w:val="none" w:sz="0" w:space="0" w:color="auto"/>
          </w:divBdr>
          <w:divsChild>
            <w:div w:id="1480806189">
              <w:marLeft w:val="0"/>
              <w:marRight w:val="0"/>
              <w:marTop w:val="0"/>
              <w:marBottom w:val="0"/>
              <w:divBdr>
                <w:top w:val="none" w:sz="0" w:space="0" w:color="auto"/>
                <w:left w:val="none" w:sz="0" w:space="0" w:color="auto"/>
                <w:bottom w:val="none" w:sz="0" w:space="0" w:color="auto"/>
                <w:right w:val="none" w:sz="0" w:space="0" w:color="auto"/>
              </w:divBdr>
              <w:divsChild>
                <w:div w:id="8812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fontZoom(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fontZoom(16)" TargetMode="External"/><Relationship Id="rId5" Type="http://schemas.openxmlformats.org/officeDocument/2006/relationships/hyperlink" Target="javascript:fontZoom(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2021-04-14T01:38:00Z</dcterms:created>
  <dcterms:modified xsi:type="dcterms:W3CDTF">2021-04-14T01:41:00Z</dcterms:modified>
</cp:coreProperties>
</file>